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3150" w14:textId="689AA41B" w:rsidR="005039F9" w:rsidRPr="001A1E3F" w:rsidRDefault="005039F9" w:rsidP="005039F9">
      <w:r w:rsidRPr="001A1E3F">
        <w:rPr>
          <w:b/>
          <w:bCs/>
        </w:rPr>
        <w:t>Gene Editing Services</w:t>
      </w:r>
    </w:p>
    <w:p w14:paraId="4D3967BC" w14:textId="7465D88F" w:rsidR="00DE3291" w:rsidRPr="00DE3291" w:rsidRDefault="00DE3291" w:rsidP="00DE3291">
      <w:pPr>
        <w:rPr>
          <w:sz w:val="20"/>
          <w:szCs w:val="20"/>
        </w:rPr>
      </w:pPr>
      <w:r w:rsidRPr="00DE3291">
        <w:rPr>
          <w:sz w:val="20"/>
          <w:szCs w:val="20"/>
        </w:rPr>
        <w:t xml:space="preserve">Through a collaborative partnership with the UCLA Human Stem Cell and Genome Engineering Center (HSCGEC), we provide advanced genome engineering services using CRISPR, TALEN, and base editing technologies to support functional genomics, disease modeling, and tool development in pluripotent stem cells. Our comprehensive pipeline covers design, </w:t>
      </w:r>
      <w:r w:rsidR="00783269">
        <w:rPr>
          <w:sz w:val="20"/>
          <w:szCs w:val="20"/>
        </w:rPr>
        <w:t xml:space="preserve">vector </w:t>
      </w:r>
      <w:r w:rsidRPr="00DE3291">
        <w:rPr>
          <w:sz w:val="20"/>
          <w:szCs w:val="20"/>
        </w:rPr>
        <w:t>cloning, genome editing, and clonal isolation, enabling investigators to correct disease-associated mutations, introduce reporters, or perform complex genetic perturbations.</w:t>
      </w:r>
    </w:p>
    <w:p w14:paraId="6C7B7791" w14:textId="77777777" w:rsidR="00DE3291" w:rsidRPr="00DE3291" w:rsidRDefault="00DE3291" w:rsidP="00DE3291">
      <w:pPr>
        <w:rPr>
          <w:sz w:val="20"/>
          <w:szCs w:val="20"/>
        </w:rPr>
      </w:pPr>
      <w:r w:rsidRPr="00DE3291">
        <w:rPr>
          <w:b/>
          <w:bCs/>
          <w:sz w:val="20"/>
          <w:szCs w:val="20"/>
        </w:rPr>
        <w:t>A. Gene Knockout Strategies</w:t>
      </w:r>
    </w:p>
    <w:p w14:paraId="57A6D56F" w14:textId="77777777" w:rsidR="00DE3291" w:rsidRPr="00DE3291" w:rsidRDefault="00DE3291" w:rsidP="00DE3291">
      <w:pPr>
        <w:numPr>
          <w:ilvl w:val="0"/>
          <w:numId w:val="36"/>
        </w:numPr>
        <w:rPr>
          <w:sz w:val="20"/>
          <w:szCs w:val="20"/>
        </w:rPr>
      </w:pPr>
      <w:r w:rsidRPr="00DE3291">
        <w:rPr>
          <w:b/>
          <w:bCs/>
          <w:sz w:val="20"/>
          <w:szCs w:val="20"/>
        </w:rPr>
        <w:t>Population Knockout:</w:t>
      </w:r>
      <w:r w:rsidRPr="00DE3291">
        <w:rPr>
          <w:sz w:val="20"/>
          <w:szCs w:val="20"/>
        </w:rPr>
        <w:t xml:space="preserve"> High-efficiency generation of edited pools, ideal for rapid screening and proof-of-concept studies.</w:t>
      </w:r>
    </w:p>
    <w:p w14:paraId="3656E28F" w14:textId="77777777" w:rsidR="00DE3291" w:rsidRPr="00DE3291" w:rsidRDefault="00DE3291" w:rsidP="00DE3291">
      <w:pPr>
        <w:numPr>
          <w:ilvl w:val="0"/>
          <w:numId w:val="36"/>
        </w:numPr>
        <w:rPr>
          <w:sz w:val="20"/>
          <w:szCs w:val="20"/>
        </w:rPr>
      </w:pPr>
      <w:r w:rsidRPr="00DE3291">
        <w:rPr>
          <w:b/>
          <w:bCs/>
          <w:sz w:val="20"/>
          <w:szCs w:val="20"/>
        </w:rPr>
        <w:t>Clonal Knockout:</w:t>
      </w:r>
      <w:r w:rsidRPr="00DE3291">
        <w:rPr>
          <w:sz w:val="20"/>
          <w:szCs w:val="20"/>
        </w:rPr>
        <w:t xml:space="preserve"> Isolation of single-cell derived clones with fully validated genotypes.</w:t>
      </w:r>
    </w:p>
    <w:p w14:paraId="3E3E5C9E" w14:textId="77777777" w:rsidR="00DE3291" w:rsidRPr="00DE3291" w:rsidRDefault="00DE3291" w:rsidP="00DE3291">
      <w:pPr>
        <w:numPr>
          <w:ilvl w:val="0"/>
          <w:numId w:val="36"/>
        </w:numPr>
        <w:rPr>
          <w:sz w:val="20"/>
          <w:szCs w:val="20"/>
        </w:rPr>
      </w:pPr>
      <w:r w:rsidRPr="00DE3291">
        <w:rPr>
          <w:b/>
          <w:bCs/>
          <w:sz w:val="20"/>
          <w:szCs w:val="20"/>
        </w:rPr>
        <w:t>Conditional Knockout:</w:t>
      </w:r>
      <w:r w:rsidRPr="00DE3291">
        <w:rPr>
          <w:sz w:val="20"/>
          <w:szCs w:val="20"/>
        </w:rPr>
        <w:t xml:space="preserve"> Design of alleles for inducible or tissue-specific gene disruption.</w:t>
      </w:r>
    </w:p>
    <w:p w14:paraId="7973FCFA" w14:textId="77777777" w:rsidR="00DE3291" w:rsidRPr="00DE3291" w:rsidRDefault="00DE3291" w:rsidP="00DE3291">
      <w:pPr>
        <w:rPr>
          <w:sz w:val="20"/>
          <w:szCs w:val="20"/>
        </w:rPr>
      </w:pPr>
      <w:r w:rsidRPr="00DE3291">
        <w:rPr>
          <w:b/>
          <w:bCs/>
          <w:sz w:val="20"/>
          <w:szCs w:val="20"/>
        </w:rPr>
        <w:t>B. Targeted Regulation &amp; Insertion</w:t>
      </w:r>
    </w:p>
    <w:p w14:paraId="71BCEC04" w14:textId="77777777" w:rsidR="00DE3291" w:rsidRPr="00DE3291" w:rsidRDefault="00DE3291" w:rsidP="00DE3291">
      <w:pPr>
        <w:numPr>
          <w:ilvl w:val="0"/>
          <w:numId w:val="37"/>
        </w:numPr>
        <w:rPr>
          <w:sz w:val="20"/>
          <w:szCs w:val="20"/>
        </w:rPr>
      </w:pPr>
      <w:r w:rsidRPr="00DE3291">
        <w:rPr>
          <w:b/>
          <w:bCs/>
          <w:sz w:val="20"/>
          <w:szCs w:val="20"/>
        </w:rPr>
        <w:t>CRISPR Activation/Inhibition (</w:t>
      </w:r>
      <w:proofErr w:type="spellStart"/>
      <w:r w:rsidRPr="00DE3291">
        <w:rPr>
          <w:b/>
          <w:bCs/>
          <w:sz w:val="20"/>
          <w:szCs w:val="20"/>
        </w:rPr>
        <w:t>CRISPRa</w:t>
      </w:r>
      <w:proofErr w:type="spellEnd"/>
      <w:r w:rsidRPr="00DE3291">
        <w:rPr>
          <w:b/>
          <w:bCs/>
          <w:sz w:val="20"/>
          <w:szCs w:val="20"/>
        </w:rPr>
        <w:t>/</w:t>
      </w:r>
      <w:proofErr w:type="spellStart"/>
      <w:r w:rsidRPr="00DE3291">
        <w:rPr>
          <w:b/>
          <w:bCs/>
          <w:sz w:val="20"/>
          <w:szCs w:val="20"/>
        </w:rPr>
        <w:t>i</w:t>
      </w:r>
      <w:proofErr w:type="spellEnd"/>
      <w:r w:rsidRPr="00DE3291">
        <w:rPr>
          <w:b/>
          <w:bCs/>
          <w:sz w:val="20"/>
          <w:szCs w:val="20"/>
        </w:rPr>
        <w:t>):</w:t>
      </w:r>
      <w:r w:rsidRPr="00DE3291">
        <w:rPr>
          <w:sz w:val="20"/>
          <w:szCs w:val="20"/>
        </w:rPr>
        <w:t xml:space="preserve"> Integration into the AAVS1 safe harbor locus for stable, targeted gene activation or repression.</w:t>
      </w:r>
    </w:p>
    <w:p w14:paraId="77B7568D" w14:textId="77777777" w:rsidR="00DE3291" w:rsidRPr="00DE3291" w:rsidRDefault="00DE3291" w:rsidP="00DE3291">
      <w:pPr>
        <w:numPr>
          <w:ilvl w:val="0"/>
          <w:numId w:val="37"/>
        </w:numPr>
        <w:rPr>
          <w:sz w:val="20"/>
          <w:szCs w:val="20"/>
        </w:rPr>
      </w:pPr>
      <w:r w:rsidRPr="00DE3291">
        <w:rPr>
          <w:b/>
          <w:bCs/>
          <w:sz w:val="20"/>
          <w:szCs w:val="20"/>
        </w:rPr>
        <w:t>AAVS1 Transgene Insertion:</w:t>
      </w:r>
      <w:r w:rsidRPr="00DE3291">
        <w:rPr>
          <w:sz w:val="20"/>
          <w:szCs w:val="20"/>
        </w:rPr>
        <w:t xml:space="preserve"> Precise knock-in of transgenes (e.g., reporters, overexpression cassettes) for predictable expression without random integration.</w:t>
      </w:r>
    </w:p>
    <w:p w14:paraId="4F805E3A" w14:textId="77777777" w:rsidR="00DE3291" w:rsidRPr="00DE3291" w:rsidRDefault="00DE3291" w:rsidP="00DE3291">
      <w:pPr>
        <w:numPr>
          <w:ilvl w:val="0"/>
          <w:numId w:val="37"/>
        </w:numPr>
        <w:rPr>
          <w:sz w:val="20"/>
          <w:szCs w:val="20"/>
        </w:rPr>
      </w:pPr>
      <w:r w:rsidRPr="00DE3291">
        <w:rPr>
          <w:b/>
          <w:bCs/>
          <w:sz w:val="20"/>
          <w:szCs w:val="20"/>
        </w:rPr>
        <w:t>Multiplexed gRNA Vectors:</w:t>
      </w:r>
      <w:r w:rsidRPr="00DE3291">
        <w:rPr>
          <w:sz w:val="20"/>
          <w:szCs w:val="20"/>
        </w:rPr>
        <w:t xml:space="preserve"> PiggyBac-mediated insertion of 3× gRNA vectors for complex genetic perturbations.</w:t>
      </w:r>
    </w:p>
    <w:p w14:paraId="0AABAC6B" w14:textId="77777777" w:rsidR="00DE3291" w:rsidRPr="00DE3291" w:rsidRDefault="00DE3291" w:rsidP="00DE3291">
      <w:pPr>
        <w:numPr>
          <w:ilvl w:val="0"/>
          <w:numId w:val="37"/>
        </w:numPr>
        <w:rPr>
          <w:sz w:val="20"/>
          <w:szCs w:val="20"/>
        </w:rPr>
      </w:pPr>
      <w:r w:rsidRPr="00DE3291">
        <w:rPr>
          <w:b/>
          <w:bCs/>
          <w:sz w:val="20"/>
          <w:szCs w:val="20"/>
        </w:rPr>
        <w:t>Design &amp; Consulting:</w:t>
      </w:r>
      <w:r w:rsidRPr="00DE3291">
        <w:rPr>
          <w:sz w:val="20"/>
          <w:szCs w:val="20"/>
        </w:rPr>
        <w:t xml:space="preserve"> Support for vector construction, including custom designs, for investigators performing transfection/selection in their own labs.</w:t>
      </w:r>
    </w:p>
    <w:p w14:paraId="77023413" w14:textId="77777777" w:rsidR="00DE3291" w:rsidRPr="00DE3291" w:rsidRDefault="00DE3291" w:rsidP="00DE3291">
      <w:pPr>
        <w:rPr>
          <w:sz w:val="20"/>
          <w:szCs w:val="20"/>
        </w:rPr>
      </w:pPr>
      <w:r w:rsidRPr="00DE3291">
        <w:rPr>
          <w:b/>
          <w:bCs/>
          <w:sz w:val="20"/>
          <w:szCs w:val="20"/>
        </w:rPr>
        <w:t>Deliverables</w:t>
      </w:r>
    </w:p>
    <w:p w14:paraId="2A94A761" w14:textId="77777777" w:rsidR="00DE3291" w:rsidRPr="00DE3291" w:rsidRDefault="00DE3291" w:rsidP="00DE3291">
      <w:pPr>
        <w:numPr>
          <w:ilvl w:val="0"/>
          <w:numId w:val="38"/>
        </w:numPr>
        <w:rPr>
          <w:sz w:val="20"/>
          <w:szCs w:val="20"/>
        </w:rPr>
      </w:pPr>
      <w:r w:rsidRPr="00DE3291">
        <w:rPr>
          <w:sz w:val="20"/>
          <w:szCs w:val="20"/>
        </w:rPr>
        <w:t>Genetically engineered iPSC lines with validated genotypes</w:t>
      </w:r>
    </w:p>
    <w:p w14:paraId="23E5EC10" w14:textId="77777777" w:rsidR="00DE3291" w:rsidRPr="00DE3291" w:rsidRDefault="00DE3291" w:rsidP="00DE3291">
      <w:pPr>
        <w:numPr>
          <w:ilvl w:val="0"/>
          <w:numId w:val="38"/>
        </w:numPr>
        <w:rPr>
          <w:sz w:val="20"/>
          <w:szCs w:val="20"/>
        </w:rPr>
      </w:pPr>
      <w:r w:rsidRPr="00DE3291">
        <w:rPr>
          <w:sz w:val="20"/>
          <w:szCs w:val="20"/>
        </w:rPr>
        <w:t>QC documentation including confirmation of on-target edits and off-target assessment</w:t>
      </w:r>
    </w:p>
    <w:p w14:paraId="469DE1A7" w14:textId="77777777" w:rsidR="00DE3291" w:rsidRPr="00DE3291" w:rsidRDefault="00DE3291" w:rsidP="00DE3291">
      <w:pPr>
        <w:numPr>
          <w:ilvl w:val="0"/>
          <w:numId w:val="38"/>
        </w:numPr>
        <w:rPr>
          <w:sz w:val="20"/>
          <w:szCs w:val="20"/>
        </w:rPr>
      </w:pPr>
      <w:r w:rsidRPr="00DE3291">
        <w:rPr>
          <w:sz w:val="20"/>
          <w:szCs w:val="20"/>
        </w:rPr>
        <w:t>Optional clonal expansion and banking of edited lines</w:t>
      </w:r>
    </w:p>
    <w:p w14:paraId="31E69438" w14:textId="77777777" w:rsidR="00DE3291" w:rsidRPr="00DE3291" w:rsidRDefault="00DE3291" w:rsidP="00DE3291">
      <w:pPr>
        <w:numPr>
          <w:ilvl w:val="0"/>
          <w:numId w:val="38"/>
        </w:numPr>
        <w:rPr>
          <w:sz w:val="20"/>
          <w:szCs w:val="20"/>
        </w:rPr>
      </w:pPr>
      <w:r w:rsidRPr="00DE3291">
        <w:rPr>
          <w:sz w:val="20"/>
          <w:szCs w:val="20"/>
        </w:rPr>
        <w:t>Documentation suitable for publications or internal records</w:t>
      </w:r>
    </w:p>
    <w:p w14:paraId="04973471" w14:textId="77777777" w:rsidR="006C396E" w:rsidRDefault="006C396E" w:rsidP="00CF570F">
      <w:pPr>
        <w:rPr>
          <w:b/>
          <w:bCs/>
        </w:rPr>
      </w:pPr>
    </w:p>
    <w:p w14:paraId="6365D6B4" w14:textId="570BA972" w:rsidR="006C396E" w:rsidRDefault="00DE4F9A" w:rsidP="00CF570F">
      <w:pPr>
        <w:rPr>
          <w:b/>
          <w:bCs/>
        </w:rPr>
      </w:pPr>
      <w:hyperlink r:id="rId5" w:tgtFrame="_blank" w:tooltip="https://drive.google.com/drive/folders/1W5he7ZymwIhnmu0wH4fOr6GUgsX2iYpu?usp=sharing" w:history="1">
        <w:r w:rsidRPr="00DE4F9A">
          <w:rPr>
            <w:rStyle w:val="Hyperlink"/>
            <w:b/>
            <w:bCs/>
          </w:rPr>
          <w:t>https://drive.google.com/drive/folders/1W5he7ZymwIhnmu0wH4fOr6GUgsX2iYpu?usp=sharing</w:t>
        </w:r>
      </w:hyperlink>
    </w:p>
    <w:p w14:paraId="499B0A86" w14:textId="631805E4" w:rsidR="006C396E" w:rsidRDefault="00D24D6A" w:rsidP="00CF570F">
      <w:pPr>
        <w:rPr>
          <w:b/>
          <w:bCs/>
        </w:rPr>
      </w:pPr>
      <w:r>
        <w:rPr>
          <w:b/>
          <w:bCs/>
          <w:noProof/>
          <w:u w:val="single"/>
        </w:rPr>
        <w:lastRenderedPageBreak/>
        <w:drawing>
          <wp:inline distT="0" distB="0" distL="0" distR="0" wp14:anchorId="2BA6F3DD" wp14:editId="5B4C04DF">
            <wp:extent cx="5934075" cy="1171575"/>
            <wp:effectExtent l="0" t="0" r="9525" b="9525"/>
            <wp:docPr id="149210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1171575"/>
                    </a:xfrm>
                    <a:prstGeom prst="rect">
                      <a:avLst/>
                    </a:prstGeom>
                    <a:noFill/>
                    <a:ln>
                      <a:noFill/>
                    </a:ln>
                  </pic:spPr>
                </pic:pic>
              </a:graphicData>
            </a:graphic>
          </wp:inline>
        </w:drawing>
      </w:r>
    </w:p>
    <w:p w14:paraId="5938C043" w14:textId="7D52B193" w:rsidR="006C396E" w:rsidRPr="00D12302" w:rsidRDefault="006C396E" w:rsidP="00CF570F">
      <w:pPr>
        <w:rPr>
          <w:b/>
          <w:bCs/>
          <w:color w:val="EE0000"/>
        </w:rPr>
      </w:pPr>
    </w:p>
    <w:tbl>
      <w:tblPr>
        <w:tblW w:w="9346" w:type="dxa"/>
        <w:tblCellMar>
          <w:left w:w="0" w:type="dxa"/>
          <w:right w:w="0" w:type="dxa"/>
        </w:tblCellMar>
        <w:tblLook w:val="0420" w:firstRow="1" w:lastRow="0" w:firstColumn="0" w:lastColumn="0" w:noHBand="0" w:noVBand="1"/>
      </w:tblPr>
      <w:tblGrid>
        <w:gridCol w:w="3251"/>
        <w:gridCol w:w="1857"/>
        <w:gridCol w:w="2765"/>
        <w:gridCol w:w="1473"/>
      </w:tblGrid>
      <w:tr w:rsidR="00CF570F" w:rsidRPr="001B70D3" w14:paraId="32285BA8" w14:textId="77777777" w:rsidTr="00BA20A4">
        <w:trPr>
          <w:trHeight w:val="284"/>
        </w:trPr>
        <w:tc>
          <w:tcPr>
            <w:tcW w:w="3251"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112199A5" w14:textId="77777777" w:rsidR="00CF570F" w:rsidRPr="001B70D3" w:rsidRDefault="00CF570F" w:rsidP="00BA20A4">
            <w:pPr>
              <w:spacing w:after="0" w:line="240" w:lineRule="auto"/>
              <w:jc w:val="center"/>
              <w:rPr>
                <w:rFonts w:ascii="Arial" w:eastAsia="Times New Roman" w:hAnsi="Arial" w:cs="Arial"/>
                <w:kern w:val="0"/>
                <w:sz w:val="20"/>
                <w:szCs w:val="20"/>
                <w14:ligatures w14:val="none"/>
              </w:rPr>
            </w:pPr>
            <w:r w:rsidRPr="001B70D3">
              <w:rPr>
                <w:rFonts w:ascii="Aptos" w:eastAsia="Times New Roman" w:hAnsi="Aptos" w:cs="Arial"/>
                <w:b/>
                <w:bCs/>
                <w:color w:val="FFFFFF"/>
                <w:kern w:val="24"/>
                <w:sz w:val="20"/>
                <w:szCs w:val="20"/>
                <w14:ligatures w14:val="none"/>
              </w:rPr>
              <w:t>Service</w:t>
            </w:r>
          </w:p>
        </w:tc>
        <w:tc>
          <w:tcPr>
            <w:tcW w:w="1857"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511006D6" w14:textId="77777777" w:rsidR="00CF570F" w:rsidRPr="001B70D3" w:rsidRDefault="00CF570F" w:rsidP="00BA20A4">
            <w:pPr>
              <w:spacing w:after="0" w:line="240" w:lineRule="auto"/>
              <w:jc w:val="center"/>
              <w:rPr>
                <w:rFonts w:ascii="Arial" w:eastAsia="Times New Roman" w:hAnsi="Arial" w:cs="Arial"/>
                <w:kern w:val="0"/>
                <w:sz w:val="20"/>
                <w:szCs w:val="20"/>
                <w14:ligatures w14:val="none"/>
              </w:rPr>
            </w:pPr>
            <w:r>
              <w:rPr>
                <w:rFonts w:ascii="Aptos" w:eastAsia="Times New Roman" w:hAnsi="Aptos" w:cs="Arial"/>
                <w:b/>
                <w:bCs/>
                <w:color w:val="FFFFFF"/>
                <w:kern w:val="24"/>
                <w:sz w:val="20"/>
                <w:szCs w:val="20"/>
                <w14:ligatures w14:val="none"/>
              </w:rPr>
              <w:t>Price</w:t>
            </w:r>
          </w:p>
        </w:tc>
        <w:tc>
          <w:tcPr>
            <w:tcW w:w="2765"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6EE32CE9" w14:textId="77777777" w:rsidR="00CF570F" w:rsidRPr="001B70D3" w:rsidRDefault="00CF570F" w:rsidP="00BA20A4">
            <w:pPr>
              <w:spacing w:after="0" w:line="240" w:lineRule="auto"/>
              <w:jc w:val="center"/>
              <w:rPr>
                <w:rFonts w:ascii="Arial" w:eastAsia="Times New Roman" w:hAnsi="Arial" w:cs="Arial"/>
                <w:kern w:val="0"/>
                <w:sz w:val="20"/>
                <w:szCs w:val="20"/>
                <w14:ligatures w14:val="none"/>
              </w:rPr>
            </w:pPr>
            <w:r w:rsidRPr="001B70D3">
              <w:rPr>
                <w:rFonts w:ascii="Aptos" w:eastAsia="Times New Roman" w:hAnsi="Aptos" w:cs="Arial"/>
                <w:b/>
                <w:bCs/>
                <w:color w:val="FFFFFF"/>
                <w:kern w:val="24"/>
                <w:sz w:val="20"/>
                <w:szCs w:val="20"/>
                <w14:ligatures w14:val="none"/>
              </w:rPr>
              <w:t>Add</w:t>
            </w:r>
            <w:r>
              <w:rPr>
                <w:rFonts w:ascii="Aptos" w:eastAsia="Times New Roman" w:hAnsi="Aptos" w:cs="Arial"/>
                <w:b/>
                <w:bCs/>
                <w:color w:val="FFFFFF"/>
                <w:kern w:val="24"/>
                <w:sz w:val="20"/>
                <w:szCs w:val="20"/>
                <w14:ligatures w14:val="none"/>
              </w:rPr>
              <w:t xml:space="preserve">. </w:t>
            </w:r>
            <w:r w:rsidRPr="001B70D3">
              <w:rPr>
                <w:rFonts w:ascii="Aptos" w:eastAsia="Times New Roman" w:hAnsi="Aptos" w:cs="Arial"/>
                <w:b/>
                <w:bCs/>
                <w:color w:val="FFFFFF"/>
                <w:kern w:val="24"/>
                <w:sz w:val="20"/>
                <w:szCs w:val="20"/>
                <w14:ligatures w14:val="none"/>
              </w:rPr>
              <w:t>Clones (After 3</w:t>
            </w:r>
            <w:proofErr w:type="spellStart"/>
            <w:r w:rsidRPr="001B70D3">
              <w:rPr>
                <w:rFonts w:ascii="Aptos" w:eastAsia="Times New Roman" w:hAnsi="Aptos" w:cs="Arial"/>
                <w:b/>
                <w:bCs/>
                <w:color w:val="FFFFFF"/>
                <w:kern w:val="24"/>
                <w:position w:val="10"/>
                <w:sz w:val="20"/>
                <w:szCs w:val="20"/>
                <w:vertAlign w:val="superscript"/>
                <w14:ligatures w14:val="none"/>
              </w:rPr>
              <w:t>rd</w:t>
            </w:r>
            <w:proofErr w:type="spellEnd"/>
            <w:r w:rsidRPr="001B70D3">
              <w:rPr>
                <w:rFonts w:ascii="Aptos" w:eastAsia="Times New Roman" w:hAnsi="Aptos" w:cs="Arial"/>
                <w:b/>
                <w:bCs/>
                <w:color w:val="FFFFFF"/>
                <w:kern w:val="24"/>
                <w:sz w:val="20"/>
                <w:szCs w:val="20"/>
                <w14:ligatures w14:val="none"/>
              </w:rPr>
              <w:t>)</w:t>
            </w:r>
          </w:p>
        </w:tc>
        <w:tc>
          <w:tcPr>
            <w:tcW w:w="147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1C3ED970" w14:textId="77777777" w:rsidR="00CF570F" w:rsidRPr="001B70D3" w:rsidRDefault="00CF570F" w:rsidP="00BA20A4">
            <w:pPr>
              <w:spacing w:after="0" w:line="240" w:lineRule="auto"/>
              <w:jc w:val="center"/>
              <w:rPr>
                <w:rFonts w:ascii="Arial" w:eastAsia="Times New Roman" w:hAnsi="Arial" w:cs="Arial"/>
                <w:kern w:val="0"/>
                <w:sz w:val="20"/>
                <w:szCs w:val="20"/>
                <w14:ligatures w14:val="none"/>
              </w:rPr>
            </w:pPr>
            <w:r w:rsidRPr="001B70D3">
              <w:rPr>
                <w:rFonts w:ascii="Aptos" w:eastAsia="Times New Roman" w:hAnsi="Aptos" w:cs="Arial"/>
                <w:b/>
                <w:bCs/>
                <w:color w:val="FFFFFF"/>
                <w:kern w:val="24"/>
                <w:sz w:val="20"/>
                <w:szCs w:val="20"/>
                <w14:ligatures w14:val="none"/>
              </w:rPr>
              <w:t>Timeline</w:t>
            </w:r>
          </w:p>
        </w:tc>
      </w:tr>
      <w:tr w:rsidR="008B4548" w:rsidRPr="001B70D3" w14:paraId="54C287DD" w14:textId="77777777" w:rsidTr="00BA20A4">
        <w:trPr>
          <w:trHeight w:val="284"/>
        </w:trPr>
        <w:tc>
          <w:tcPr>
            <w:tcW w:w="3251"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5150F7D3" w14:textId="3FCB45B1"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Gene Knockout - Population</w:t>
            </w:r>
          </w:p>
        </w:tc>
        <w:tc>
          <w:tcPr>
            <w:tcW w:w="1857"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2A40318B" w14:textId="0CB32466"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$3,</w:t>
            </w:r>
            <w:r w:rsidR="001501D5">
              <w:rPr>
                <w:b/>
                <w:bCs/>
                <w:sz w:val="20"/>
                <w:szCs w:val="20"/>
              </w:rPr>
              <w:t>75</w:t>
            </w:r>
            <w:r w:rsidRPr="000041C8">
              <w:rPr>
                <w:b/>
                <w:bCs/>
                <w:sz w:val="20"/>
                <w:szCs w:val="20"/>
              </w:rPr>
              <w:t>0</w:t>
            </w:r>
          </w:p>
        </w:tc>
        <w:tc>
          <w:tcPr>
            <w:tcW w:w="2765"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7BB97DCE" w14:textId="0B6119F8"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NA</w:t>
            </w:r>
          </w:p>
        </w:tc>
        <w:tc>
          <w:tcPr>
            <w:tcW w:w="147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161C3FA6" w14:textId="2C041714"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10-12 Weeks</w:t>
            </w:r>
          </w:p>
        </w:tc>
      </w:tr>
      <w:tr w:rsidR="008B4548" w:rsidRPr="001B70D3" w14:paraId="23A262D5" w14:textId="77777777" w:rsidTr="00BA20A4">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45E30AD7" w14:textId="05AA3376"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Gene Knockout - Clonal</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3223C6FA" w14:textId="29450366"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$6,</w:t>
            </w:r>
            <w:r w:rsidR="001501D5">
              <w:rPr>
                <w:b/>
                <w:bCs/>
                <w:sz w:val="20"/>
                <w:szCs w:val="20"/>
              </w:rPr>
              <w:t>75</w:t>
            </w:r>
            <w:r w:rsidRPr="000041C8">
              <w:rPr>
                <w:b/>
                <w:bCs/>
                <w:sz w:val="20"/>
                <w:szCs w:val="20"/>
              </w:rPr>
              <w:t>0</w:t>
            </w:r>
          </w:p>
        </w:tc>
        <w:tc>
          <w:tcPr>
            <w:tcW w:w="276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21953BBD" w14:textId="3C6491E0"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$500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7521901B" w14:textId="39803483"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12-20 Weeks</w:t>
            </w:r>
          </w:p>
        </w:tc>
      </w:tr>
      <w:tr w:rsidR="008B4548" w:rsidRPr="001B70D3" w14:paraId="2CE2CF02" w14:textId="77777777" w:rsidTr="00BA20A4">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27B64525" w14:textId="60C2CA6C"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Gene Knockout - Conditional</w:t>
            </w:r>
          </w:p>
        </w:tc>
        <w:tc>
          <w:tcPr>
            <w:tcW w:w="1857"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16876606" w14:textId="606D4EB8"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$7,</w:t>
            </w:r>
            <w:r w:rsidR="001501D5">
              <w:rPr>
                <w:b/>
                <w:bCs/>
                <w:sz w:val="20"/>
                <w:szCs w:val="20"/>
              </w:rPr>
              <w:t>25</w:t>
            </w:r>
            <w:r w:rsidRPr="000041C8">
              <w:rPr>
                <w:b/>
                <w:bCs/>
                <w:sz w:val="20"/>
                <w:szCs w:val="20"/>
              </w:rPr>
              <w:t>0</w:t>
            </w:r>
          </w:p>
        </w:tc>
        <w:tc>
          <w:tcPr>
            <w:tcW w:w="2765"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6361B5E4" w14:textId="06C8A15B"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$500</w:t>
            </w:r>
          </w:p>
        </w:tc>
        <w:tc>
          <w:tcPr>
            <w:tcW w:w="1473"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368BD122" w14:textId="6B225FBC"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16-20 Weeks</w:t>
            </w:r>
          </w:p>
        </w:tc>
      </w:tr>
      <w:tr w:rsidR="008B4548" w:rsidRPr="001B70D3" w14:paraId="15523495" w14:textId="77777777" w:rsidTr="00BA20A4">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142C4869" w14:textId="74A59447"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CRISPR Act. / Inh. (AAVS1)</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01E29EF8" w14:textId="4A47CEA6"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w:t>
            </w:r>
            <w:r w:rsidR="001501D5">
              <w:rPr>
                <w:b/>
                <w:bCs/>
                <w:sz w:val="20"/>
                <w:szCs w:val="20"/>
              </w:rPr>
              <w:t>9,000</w:t>
            </w:r>
          </w:p>
        </w:tc>
        <w:tc>
          <w:tcPr>
            <w:tcW w:w="276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6DF933C2" w14:textId="5CAF0267"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$500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0C438501" w14:textId="20ADFA49" w:rsidR="008B4548" w:rsidRPr="001B70D3" w:rsidRDefault="008B4548" w:rsidP="008B4548">
            <w:pPr>
              <w:spacing w:after="0" w:line="240" w:lineRule="auto"/>
              <w:jc w:val="center"/>
              <w:rPr>
                <w:rFonts w:ascii="Arial" w:eastAsia="Times New Roman" w:hAnsi="Arial" w:cs="Arial"/>
                <w:kern w:val="0"/>
                <w:sz w:val="20"/>
                <w:szCs w:val="20"/>
                <w14:ligatures w14:val="none"/>
              </w:rPr>
            </w:pPr>
            <w:r w:rsidRPr="000041C8">
              <w:rPr>
                <w:b/>
                <w:bCs/>
                <w:sz w:val="20"/>
                <w:szCs w:val="20"/>
              </w:rPr>
              <w:t>16-20 Weeks</w:t>
            </w:r>
          </w:p>
        </w:tc>
      </w:tr>
      <w:tr w:rsidR="008B4548" w:rsidRPr="001B70D3" w14:paraId="300B38A1" w14:textId="77777777" w:rsidTr="00F5370A">
        <w:trPr>
          <w:trHeight w:val="241"/>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5A312C10" w14:textId="4D67922B" w:rsidR="008B4548" w:rsidRPr="001B70D3" w:rsidRDefault="008B4548" w:rsidP="008B4548">
            <w:pPr>
              <w:spacing w:after="0" w:line="240" w:lineRule="auto"/>
              <w:jc w:val="center"/>
              <w:rPr>
                <w:rFonts w:ascii="Aptos" w:eastAsia="Times New Roman" w:hAnsi="Aptos" w:cs="Arial"/>
                <w:b/>
                <w:bCs/>
                <w:color w:val="000000"/>
                <w:kern w:val="24"/>
                <w:sz w:val="20"/>
                <w:szCs w:val="20"/>
                <w14:ligatures w14:val="none"/>
              </w:rPr>
            </w:pPr>
            <w:r w:rsidRPr="000041C8">
              <w:rPr>
                <w:b/>
                <w:bCs/>
                <w:sz w:val="20"/>
                <w:szCs w:val="20"/>
              </w:rPr>
              <w:t>3x gRNA PiggyBac Vector Insertion</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2B74458B" w14:textId="20CEACA3" w:rsidR="008B4548" w:rsidRPr="001B70D3" w:rsidRDefault="008B4548" w:rsidP="008B4548">
            <w:pPr>
              <w:spacing w:after="0" w:line="240" w:lineRule="auto"/>
              <w:jc w:val="center"/>
              <w:rPr>
                <w:rFonts w:ascii="Aptos" w:eastAsia="Times New Roman" w:hAnsi="Aptos" w:cs="Arial"/>
                <w:color w:val="000000"/>
                <w:kern w:val="24"/>
                <w:sz w:val="20"/>
                <w:szCs w:val="20"/>
                <w14:ligatures w14:val="none"/>
              </w:rPr>
            </w:pPr>
            <w:r w:rsidRPr="000041C8">
              <w:rPr>
                <w:b/>
                <w:bCs/>
                <w:sz w:val="20"/>
                <w:szCs w:val="20"/>
              </w:rPr>
              <w:t>$6,</w:t>
            </w:r>
            <w:r w:rsidR="001501D5">
              <w:rPr>
                <w:b/>
                <w:bCs/>
                <w:sz w:val="20"/>
                <w:szCs w:val="20"/>
              </w:rPr>
              <w:t>25</w:t>
            </w:r>
            <w:r w:rsidRPr="000041C8">
              <w:rPr>
                <w:b/>
                <w:bCs/>
                <w:sz w:val="20"/>
                <w:szCs w:val="20"/>
              </w:rPr>
              <w:t>0</w:t>
            </w:r>
          </w:p>
        </w:tc>
        <w:tc>
          <w:tcPr>
            <w:tcW w:w="276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269CB645" w14:textId="79D9FBFA" w:rsidR="008B4548" w:rsidRPr="001B70D3" w:rsidRDefault="008B4548" w:rsidP="008B4548">
            <w:pPr>
              <w:spacing w:after="0" w:line="240" w:lineRule="auto"/>
              <w:jc w:val="center"/>
              <w:rPr>
                <w:rFonts w:ascii="Aptos" w:eastAsia="Times New Roman" w:hAnsi="Aptos" w:cs="Arial"/>
                <w:color w:val="000000"/>
                <w:kern w:val="24"/>
                <w:sz w:val="20"/>
                <w:szCs w:val="20"/>
                <w14:ligatures w14:val="none"/>
              </w:rPr>
            </w:pPr>
            <w:r w:rsidRPr="000041C8">
              <w:rPr>
                <w:b/>
                <w:bCs/>
                <w:sz w:val="20"/>
                <w:szCs w:val="20"/>
              </w:rPr>
              <w:t>$500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6509478F" w14:textId="3AA48DD2" w:rsidR="008B4548" w:rsidRPr="001B70D3" w:rsidRDefault="008B4548" w:rsidP="008B4548">
            <w:pPr>
              <w:spacing w:after="0" w:line="240" w:lineRule="auto"/>
              <w:jc w:val="center"/>
              <w:rPr>
                <w:rFonts w:ascii="Aptos" w:eastAsia="Times New Roman" w:hAnsi="Aptos" w:cs="Arial"/>
                <w:color w:val="00B050"/>
                <w:kern w:val="24"/>
                <w:sz w:val="20"/>
                <w:szCs w:val="20"/>
                <w14:ligatures w14:val="none"/>
              </w:rPr>
            </w:pPr>
            <w:r w:rsidRPr="000041C8">
              <w:rPr>
                <w:b/>
                <w:bCs/>
                <w:sz w:val="20"/>
                <w:szCs w:val="20"/>
              </w:rPr>
              <w:t>16-20 Weeks</w:t>
            </w:r>
          </w:p>
        </w:tc>
      </w:tr>
      <w:tr w:rsidR="008B4548" w:rsidRPr="001B70D3" w14:paraId="5A6EADC4" w14:textId="77777777" w:rsidTr="00BA20A4">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39883FBF" w14:textId="55E18F9F" w:rsidR="008B4548" w:rsidRPr="001B70D3" w:rsidRDefault="008B4548" w:rsidP="008B4548">
            <w:pPr>
              <w:spacing w:after="0" w:line="240" w:lineRule="auto"/>
              <w:jc w:val="center"/>
              <w:rPr>
                <w:rFonts w:ascii="Aptos" w:eastAsia="Times New Roman" w:hAnsi="Aptos" w:cs="Arial"/>
                <w:b/>
                <w:bCs/>
                <w:color w:val="000000"/>
                <w:kern w:val="24"/>
                <w:sz w:val="20"/>
                <w:szCs w:val="20"/>
                <w14:ligatures w14:val="none"/>
              </w:rPr>
            </w:pPr>
            <w:r w:rsidRPr="000041C8">
              <w:rPr>
                <w:b/>
                <w:bCs/>
                <w:sz w:val="20"/>
                <w:szCs w:val="20"/>
              </w:rPr>
              <w:t>AAVS1 Gene Insertion</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3B025243" w14:textId="77226391" w:rsidR="008B4548" w:rsidRPr="001B70D3" w:rsidRDefault="008B4548" w:rsidP="008B4548">
            <w:pPr>
              <w:spacing w:after="0" w:line="240" w:lineRule="auto"/>
              <w:jc w:val="center"/>
              <w:rPr>
                <w:rFonts w:ascii="Aptos" w:eastAsia="Times New Roman" w:hAnsi="Aptos" w:cs="Arial"/>
                <w:color w:val="000000"/>
                <w:kern w:val="24"/>
                <w:sz w:val="20"/>
                <w:szCs w:val="20"/>
                <w14:ligatures w14:val="none"/>
              </w:rPr>
            </w:pPr>
            <w:r w:rsidRPr="000041C8">
              <w:rPr>
                <w:b/>
                <w:bCs/>
                <w:sz w:val="20"/>
                <w:szCs w:val="20"/>
              </w:rPr>
              <w:t>$</w:t>
            </w:r>
            <w:r w:rsidR="001501D5">
              <w:rPr>
                <w:b/>
                <w:bCs/>
                <w:sz w:val="20"/>
                <w:szCs w:val="20"/>
              </w:rPr>
              <w:t>9,000</w:t>
            </w:r>
          </w:p>
        </w:tc>
        <w:tc>
          <w:tcPr>
            <w:tcW w:w="276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631A9FF1" w14:textId="12C1F83A" w:rsidR="008B4548" w:rsidRPr="001B70D3" w:rsidRDefault="008B4548" w:rsidP="008B4548">
            <w:pPr>
              <w:spacing w:after="0" w:line="240" w:lineRule="auto"/>
              <w:jc w:val="center"/>
              <w:rPr>
                <w:rFonts w:ascii="Aptos" w:eastAsia="Times New Roman" w:hAnsi="Aptos" w:cs="Arial"/>
                <w:color w:val="000000"/>
                <w:kern w:val="24"/>
                <w:sz w:val="20"/>
                <w:szCs w:val="20"/>
                <w14:ligatures w14:val="none"/>
              </w:rPr>
            </w:pPr>
            <w:r w:rsidRPr="000041C8">
              <w:rPr>
                <w:b/>
                <w:bCs/>
                <w:sz w:val="20"/>
                <w:szCs w:val="20"/>
              </w:rPr>
              <w:t>$500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0F76C4F5" w14:textId="365C8769" w:rsidR="008B4548" w:rsidRPr="001B70D3" w:rsidRDefault="008B4548" w:rsidP="008B4548">
            <w:pPr>
              <w:spacing w:after="0" w:line="240" w:lineRule="auto"/>
              <w:jc w:val="center"/>
              <w:rPr>
                <w:rFonts w:ascii="Aptos" w:eastAsia="Times New Roman" w:hAnsi="Aptos" w:cs="Arial"/>
                <w:color w:val="00B050"/>
                <w:kern w:val="24"/>
                <w:sz w:val="20"/>
                <w:szCs w:val="20"/>
                <w14:ligatures w14:val="none"/>
              </w:rPr>
            </w:pPr>
            <w:r w:rsidRPr="000041C8">
              <w:rPr>
                <w:b/>
                <w:bCs/>
                <w:sz w:val="20"/>
                <w:szCs w:val="20"/>
              </w:rPr>
              <w:t>16-20 Weeks</w:t>
            </w:r>
          </w:p>
        </w:tc>
      </w:tr>
    </w:tbl>
    <w:p w14:paraId="32231891" w14:textId="77777777" w:rsidR="0080078F" w:rsidRPr="0080078F" w:rsidRDefault="0080078F" w:rsidP="0080078F">
      <w:r w:rsidRPr="00762D4E">
        <w:rPr>
          <w:b/>
          <w:bCs/>
          <w:i/>
          <w:iCs/>
        </w:rPr>
        <w:t xml:space="preserve">* </w:t>
      </w:r>
      <w:r w:rsidRPr="00762D4E">
        <w:rPr>
          <w:i/>
          <w:iCs/>
          <w:sz w:val="20"/>
          <w:szCs w:val="20"/>
        </w:rPr>
        <w:t xml:space="preserve">Basic </w:t>
      </w:r>
      <w:r>
        <w:rPr>
          <w:i/>
          <w:iCs/>
          <w:sz w:val="20"/>
          <w:szCs w:val="20"/>
        </w:rPr>
        <w:t>Gene Editing</w:t>
      </w:r>
      <w:r w:rsidRPr="00762D4E">
        <w:rPr>
          <w:i/>
          <w:iCs/>
          <w:sz w:val="20"/>
          <w:szCs w:val="20"/>
        </w:rPr>
        <w:t xml:space="preserve"> Service typically takes 4–6 months and includes expansion and sequence validation of 3 modified clones, sterility/mycoplasma testing, freeze–thaw viability, pluripotency marker staining, and CNV analysis. Additional services, such as tri-lineage differentiation assays, are available upon request.</w:t>
      </w:r>
    </w:p>
    <w:p w14:paraId="07724148" w14:textId="77777777" w:rsidR="0080078F" w:rsidRPr="00762D4E" w:rsidRDefault="0080078F" w:rsidP="0080078F">
      <w:pPr>
        <w:rPr>
          <w:i/>
          <w:iCs/>
          <w:sz w:val="20"/>
          <w:szCs w:val="20"/>
        </w:rPr>
      </w:pPr>
      <w:r>
        <w:rPr>
          <w:i/>
          <w:iCs/>
          <w:sz w:val="20"/>
          <w:szCs w:val="20"/>
        </w:rPr>
        <w:t>Cell line</w:t>
      </w:r>
      <w:r w:rsidRPr="00762D4E">
        <w:rPr>
          <w:i/>
          <w:iCs/>
          <w:sz w:val="20"/>
          <w:szCs w:val="20"/>
        </w:rPr>
        <w:t>-specific mutations</w:t>
      </w:r>
      <w:r>
        <w:rPr>
          <w:i/>
          <w:iCs/>
          <w:sz w:val="20"/>
          <w:szCs w:val="20"/>
        </w:rPr>
        <w:t>/alterations</w:t>
      </w:r>
      <w:r w:rsidRPr="00762D4E">
        <w:rPr>
          <w:i/>
          <w:iCs/>
          <w:sz w:val="20"/>
          <w:szCs w:val="20"/>
        </w:rPr>
        <w:t xml:space="preserve"> may cause variability and potential delays. Additional clones can be requested for an extra fee.</w:t>
      </w:r>
    </w:p>
    <w:p w14:paraId="034143FF" w14:textId="3BA3CC3D" w:rsidR="00CF570F" w:rsidRPr="00D12302" w:rsidRDefault="0080078F" w:rsidP="00CF570F">
      <w:pPr>
        <w:rPr>
          <w:b/>
          <w:bCs/>
          <w:color w:val="EE0000"/>
        </w:rPr>
      </w:pPr>
      <w:r>
        <w:rPr>
          <w:b/>
          <w:bCs/>
        </w:rPr>
        <w:br/>
      </w:r>
      <w:r w:rsidRPr="000041C8">
        <w:rPr>
          <w:b/>
          <w:bCs/>
          <w:sz w:val="20"/>
          <w:szCs w:val="20"/>
        </w:rPr>
        <w:t>Gene Editing Design &amp; Cloning Service</w:t>
      </w:r>
    </w:p>
    <w:tbl>
      <w:tblPr>
        <w:tblW w:w="6581" w:type="dxa"/>
        <w:tblCellMar>
          <w:left w:w="0" w:type="dxa"/>
          <w:right w:w="0" w:type="dxa"/>
        </w:tblCellMar>
        <w:tblLook w:val="0420" w:firstRow="1" w:lastRow="0" w:firstColumn="0" w:lastColumn="0" w:noHBand="0" w:noVBand="1"/>
      </w:tblPr>
      <w:tblGrid>
        <w:gridCol w:w="3251"/>
        <w:gridCol w:w="1857"/>
        <w:gridCol w:w="1473"/>
      </w:tblGrid>
      <w:tr w:rsidR="0080078F" w:rsidRPr="001B70D3" w14:paraId="713E1D78" w14:textId="77777777" w:rsidTr="0080078F">
        <w:trPr>
          <w:trHeight w:val="284"/>
        </w:trPr>
        <w:tc>
          <w:tcPr>
            <w:tcW w:w="3251"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2E58DF78" w14:textId="77777777" w:rsidR="0080078F" w:rsidRPr="001B70D3" w:rsidRDefault="0080078F" w:rsidP="00BA20A4">
            <w:pPr>
              <w:spacing w:after="0" w:line="240" w:lineRule="auto"/>
              <w:jc w:val="center"/>
              <w:rPr>
                <w:rFonts w:ascii="Arial" w:eastAsia="Times New Roman" w:hAnsi="Arial" w:cs="Arial"/>
                <w:kern w:val="0"/>
                <w:sz w:val="20"/>
                <w:szCs w:val="20"/>
                <w14:ligatures w14:val="none"/>
              </w:rPr>
            </w:pPr>
            <w:r w:rsidRPr="001B70D3">
              <w:rPr>
                <w:rFonts w:ascii="Aptos" w:eastAsia="Times New Roman" w:hAnsi="Aptos" w:cs="Arial"/>
                <w:b/>
                <w:bCs/>
                <w:color w:val="FFFFFF"/>
                <w:kern w:val="24"/>
                <w:sz w:val="20"/>
                <w:szCs w:val="20"/>
                <w14:ligatures w14:val="none"/>
              </w:rPr>
              <w:t>Service</w:t>
            </w:r>
          </w:p>
        </w:tc>
        <w:tc>
          <w:tcPr>
            <w:tcW w:w="1857"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2281BAC3" w14:textId="77777777" w:rsidR="0080078F" w:rsidRPr="001B70D3" w:rsidRDefault="0080078F" w:rsidP="00BA20A4">
            <w:pPr>
              <w:spacing w:after="0" w:line="240" w:lineRule="auto"/>
              <w:jc w:val="center"/>
              <w:rPr>
                <w:rFonts w:ascii="Arial" w:eastAsia="Times New Roman" w:hAnsi="Arial" w:cs="Arial"/>
                <w:kern w:val="0"/>
                <w:sz w:val="20"/>
                <w:szCs w:val="20"/>
                <w14:ligatures w14:val="none"/>
              </w:rPr>
            </w:pPr>
            <w:r>
              <w:rPr>
                <w:rFonts w:ascii="Aptos" w:eastAsia="Times New Roman" w:hAnsi="Aptos" w:cs="Arial"/>
                <w:b/>
                <w:bCs/>
                <w:color w:val="FFFFFF"/>
                <w:kern w:val="24"/>
                <w:sz w:val="20"/>
                <w:szCs w:val="20"/>
                <w14:ligatures w14:val="none"/>
              </w:rPr>
              <w:t>Price</w:t>
            </w:r>
          </w:p>
        </w:tc>
        <w:tc>
          <w:tcPr>
            <w:tcW w:w="147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5B76A252" w14:textId="77777777" w:rsidR="0080078F" w:rsidRPr="001B70D3" w:rsidRDefault="0080078F" w:rsidP="00BA20A4">
            <w:pPr>
              <w:spacing w:after="0" w:line="240" w:lineRule="auto"/>
              <w:jc w:val="center"/>
              <w:rPr>
                <w:rFonts w:ascii="Arial" w:eastAsia="Times New Roman" w:hAnsi="Arial" w:cs="Arial"/>
                <w:kern w:val="0"/>
                <w:sz w:val="20"/>
                <w:szCs w:val="20"/>
                <w14:ligatures w14:val="none"/>
              </w:rPr>
            </w:pPr>
            <w:r w:rsidRPr="001B70D3">
              <w:rPr>
                <w:rFonts w:ascii="Aptos" w:eastAsia="Times New Roman" w:hAnsi="Aptos" w:cs="Arial"/>
                <w:b/>
                <w:bCs/>
                <w:color w:val="FFFFFF"/>
                <w:kern w:val="24"/>
                <w:sz w:val="20"/>
                <w:szCs w:val="20"/>
                <w14:ligatures w14:val="none"/>
              </w:rPr>
              <w:t>Timeline</w:t>
            </w:r>
          </w:p>
        </w:tc>
      </w:tr>
      <w:tr w:rsidR="00C22031" w:rsidRPr="001B70D3" w14:paraId="6C3A98CF" w14:textId="77777777" w:rsidTr="0080078F">
        <w:trPr>
          <w:trHeight w:val="284"/>
        </w:trPr>
        <w:tc>
          <w:tcPr>
            <w:tcW w:w="3251"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tcPr>
          <w:p w14:paraId="223E49AC" w14:textId="3DFE8540" w:rsidR="00C22031" w:rsidRPr="000041C8" w:rsidRDefault="00C22031" w:rsidP="00C22031">
            <w:pPr>
              <w:spacing w:after="0" w:line="240" w:lineRule="auto"/>
              <w:jc w:val="center"/>
              <w:rPr>
                <w:b/>
                <w:bCs/>
                <w:sz w:val="20"/>
                <w:szCs w:val="20"/>
              </w:rPr>
            </w:pPr>
            <w:r w:rsidRPr="000041C8">
              <w:rPr>
                <w:b/>
                <w:bCs/>
                <w:sz w:val="20"/>
                <w:szCs w:val="20"/>
              </w:rPr>
              <w:t>Reporter Cell Line Gen</w:t>
            </w:r>
            <w:r>
              <w:rPr>
                <w:b/>
                <w:bCs/>
                <w:sz w:val="20"/>
                <w:szCs w:val="20"/>
              </w:rPr>
              <w:t>eration</w:t>
            </w:r>
          </w:p>
        </w:tc>
        <w:tc>
          <w:tcPr>
            <w:tcW w:w="1857"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tcPr>
          <w:p w14:paraId="4A9D0D7F" w14:textId="6D4D85F1" w:rsidR="00C22031" w:rsidRPr="000041C8" w:rsidRDefault="00C22031" w:rsidP="00C22031">
            <w:pPr>
              <w:spacing w:after="0" w:line="240" w:lineRule="auto"/>
              <w:jc w:val="center"/>
              <w:rPr>
                <w:b/>
                <w:bCs/>
                <w:sz w:val="20"/>
                <w:szCs w:val="20"/>
              </w:rPr>
            </w:pPr>
            <w:r w:rsidRPr="000041C8">
              <w:rPr>
                <w:b/>
                <w:bCs/>
                <w:sz w:val="20"/>
                <w:szCs w:val="20"/>
              </w:rPr>
              <w:t>$3,</w:t>
            </w:r>
            <w:r w:rsidR="001501D5">
              <w:rPr>
                <w:b/>
                <w:bCs/>
                <w:sz w:val="20"/>
                <w:szCs w:val="20"/>
              </w:rPr>
              <w:t>75</w:t>
            </w:r>
            <w:r w:rsidRPr="000041C8">
              <w:rPr>
                <w:b/>
                <w:bCs/>
                <w:sz w:val="20"/>
                <w:szCs w:val="20"/>
              </w:rPr>
              <w:t>0</w:t>
            </w:r>
          </w:p>
        </w:tc>
        <w:tc>
          <w:tcPr>
            <w:tcW w:w="147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tcPr>
          <w:p w14:paraId="061B9BF4" w14:textId="159D6E32" w:rsidR="00C22031" w:rsidRDefault="00C22031" w:rsidP="00C22031">
            <w:pPr>
              <w:spacing w:after="0" w:line="240" w:lineRule="auto"/>
              <w:jc w:val="center"/>
              <w:rPr>
                <w:b/>
                <w:bCs/>
                <w:sz w:val="20"/>
                <w:szCs w:val="20"/>
              </w:rPr>
            </w:pPr>
            <w:r>
              <w:rPr>
                <w:b/>
                <w:bCs/>
                <w:sz w:val="20"/>
                <w:szCs w:val="20"/>
              </w:rPr>
              <w:t>2-8 Weeks</w:t>
            </w:r>
          </w:p>
        </w:tc>
      </w:tr>
      <w:tr w:rsidR="00C22031" w:rsidRPr="001B70D3" w14:paraId="48283B5B" w14:textId="77777777" w:rsidTr="00C22031">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773F3012" w14:textId="53993799" w:rsidR="00C22031" w:rsidRPr="001B70D3" w:rsidRDefault="00C22031" w:rsidP="00C22031">
            <w:pPr>
              <w:spacing w:after="0" w:line="240" w:lineRule="auto"/>
              <w:jc w:val="center"/>
              <w:rPr>
                <w:rFonts w:ascii="Arial" w:eastAsia="Times New Roman" w:hAnsi="Arial" w:cs="Arial"/>
                <w:kern w:val="0"/>
                <w:sz w:val="20"/>
                <w:szCs w:val="20"/>
                <w14:ligatures w14:val="none"/>
              </w:rPr>
            </w:pPr>
            <w:r>
              <w:rPr>
                <w:b/>
                <w:bCs/>
                <w:sz w:val="20"/>
                <w:szCs w:val="20"/>
              </w:rPr>
              <w:t>Base Editor</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4E242969" w14:textId="320930BF" w:rsidR="00C22031" w:rsidRPr="001B70D3" w:rsidRDefault="00C22031" w:rsidP="00C22031">
            <w:pPr>
              <w:spacing w:after="0" w:line="240" w:lineRule="auto"/>
              <w:jc w:val="center"/>
              <w:rPr>
                <w:rFonts w:ascii="Arial" w:eastAsia="Times New Roman" w:hAnsi="Arial" w:cs="Arial"/>
                <w:kern w:val="0"/>
                <w:sz w:val="20"/>
                <w:szCs w:val="20"/>
                <w14:ligatures w14:val="none"/>
              </w:rPr>
            </w:pPr>
            <w:r w:rsidRPr="000041C8">
              <w:rPr>
                <w:b/>
                <w:bCs/>
                <w:sz w:val="20"/>
                <w:szCs w:val="20"/>
              </w:rPr>
              <w:t>$3,</w:t>
            </w:r>
            <w:r w:rsidR="001501D5">
              <w:rPr>
                <w:b/>
                <w:bCs/>
                <w:sz w:val="20"/>
                <w:szCs w:val="20"/>
              </w:rPr>
              <w:t>75</w:t>
            </w:r>
            <w:r w:rsidRPr="000041C8">
              <w:rPr>
                <w:b/>
                <w:bCs/>
                <w:sz w:val="20"/>
                <w:szCs w:val="20"/>
              </w:rPr>
              <w:t>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5616EA52" w14:textId="134ADB5B" w:rsidR="00C22031" w:rsidRPr="001B70D3" w:rsidRDefault="00C22031" w:rsidP="00C22031">
            <w:pPr>
              <w:spacing w:after="0" w:line="240" w:lineRule="auto"/>
              <w:jc w:val="center"/>
              <w:rPr>
                <w:rFonts w:ascii="Arial" w:eastAsia="Times New Roman" w:hAnsi="Arial" w:cs="Arial"/>
                <w:kern w:val="0"/>
                <w:sz w:val="20"/>
                <w:szCs w:val="20"/>
                <w14:ligatures w14:val="none"/>
              </w:rPr>
            </w:pPr>
            <w:r>
              <w:rPr>
                <w:b/>
                <w:bCs/>
                <w:sz w:val="20"/>
                <w:szCs w:val="20"/>
              </w:rPr>
              <w:t>2-8 Weeks</w:t>
            </w:r>
          </w:p>
        </w:tc>
      </w:tr>
      <w:tr w:rsidR="00C22031" w:rsidRPr="001B70D3" w14:paraId="0042FD90" w14:textId="77777777" w:rsidTr="0080078F">
        <w:trPr>
          <w:trHeight w:val="284"/>
        </w:trPr>
        <w:tc>
          <w:tcPr>
            <w:tcW w:w="325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3A2885CE" w14:textId="39CDDCFE" w:rsidR="00C22031" w:rsidRPr="000041C8" w:rsidRDefault="00C22031" w:rsidP="00C22031">
            <w:pPr>
              <w:spacing w:after="0" w:line="240" w:lineRule="auto"/>
              <w:jc w:val="center"/>
              <w:rPr>
                <w:b/>
                <w:bCs/>
                <w:sz w:val="20"/>
                <w:szCs w:val="20"/>
              </w:rPr>
            </w:pPr>
            <w:r w:rsidRPr="000041C8">
              <w:rPr>
                <w:b/>
                <w:bCs/>
                <w:sz w:val="20"/>
                <w:szCs w:val="20"/>
              </w:rPr>
              <w:t>Mutation / Correction</w:t>
            </w:r>
          </w:p>
        </w:tc>
        <w:tc>
          <w:tcPr>
            <w:tcW w:w="185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3FA203C2" w14:textId="7A25FFB9" w:rsidR="00C22031" w:rsidRPr="000041C8" w:rsidRDefault="00C22031" w:rsidP="00C22031">
            <w:pPr>
              <w:spacing w:after="0" w:line="240" w:lineRule="auto"/>
              <w:jc w:val="center"/>
              <w:rPr>
                <w:b/>
                <w:bCs/>
                <w:sz w:val="20"/>
                <w:szCs w:val="20"/>
              </w:rPr>
            </w:pPr>
            <w:r w:rsidRPr="000041C8">
              <w:rPr>
                <w:b/>
                <w:bCs/>
                <w:sz w:val="20"/>
                <w:szCs w:val="20"/>
              </w:rPr>
              <w:t>$</w:t>
            </w:r>
            <w:r>
              <w:rPr>
                <w:b/>
                <w:bCs/>
                <w:sz w:val="20"/>
                <w:szCs w:val="20"/>
              </w:rPr>
              <w:t>2</w:t>
            </w:r>
            <w:r w:rsidRPr="000041C8">
              <w:rPr>
                <w:b/>
                <w:bCs/>
                <w:sz w:val="20"/>
                <w:szCs w:val="20"/>
              </w:rPr>
              <w:t>,</w:t>
            </w:r>
            <w:r w:rsidR="001501D5">
              <w:rPr>
                <w:b/>
                <w:bCs/>
                <w:sz w:val="20"/>
                <w:szCs w:val="20"/>
              </w:rPr>
              <w:t>75</w:t>
            </w:r>
            <w:r w:rsidRPr="000041C8">
              <w:rPr>
                <w:b/>
                <w:bCs/>
                <w:sz w:val="20"/>
                <w:szCs w:val="20"/>
              </w:rPr>
              <w:t>0</w:t>
            </w:r>
          </w:p>
        </w:tc>
        <w:tc>
          <w:tcPr>
            <w:tcW w:w="147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tcPr>
          <w:p w14:paraId="4576F933" w14:textId="0DCFC2E8" w:rsidR="00C22031" w:rsidRDefault="00C22031" w:rsidP="00C22031">
            <w:pPr>
              <w:spacing w:after="0" w:line="240" w:lineRule="auto"/>
              <w:jc w:val="center"/>
              <w:rPr>
                <w:b/>
                <w:bCs/>
                <w:sz w:val="20"/>
                <w:szCs w:val="20"/>
              </w:rPr>
            </w:pPr>
            <w:r>
              <w:rPr>
                <w:b/>
                <w:bCs/>
                <w:sz w:val="20"/>
                <w:szCs w:val="20"/>
              </w:rPr>
              <w:t>2-8 Weeks</w:t>
            </w:r>
          </w:p>
        </w:tc>
      </w:tr>
    </w:tbl>
    <w:p w14:paraId="53F5DD13" w14:textId="6B1EC6C3" w:rsidR="005039F9" w:rsidRPr="00B77514" w:rsidRDefault="007D38A8" w:rsidP="00B77514">
      <w:pPr>
        <w:rPr>
          <w:i/>
          <w:iCs/>
          <w:sz w:val="20"/>
          <w:szCs w:val="20"/>
        </w:rPr>
      </w:pPr>
      <w:r w:rsidRPr="00762D4E">
        <w:rPr>
          <w:b/>
          <w:bCs/>
          <w:i/>
          <w:iCs/>
        </w:rPr>
        <w:t xml:space="preserve">* </w:t>
      </w:r>
      <w:r w:rsidR="00892320" w:rsidRPr="00892320">
        <w:rPr>
          <w:i/>
          <w:iCs/>
          <w:sz w:val="20"/>
          <w:szCs w:val="20"/>
        </w:rPr>
        <w:t>Gene Editing Design &amp; Cloning Service includes design and procurement of materials for reporter cell line generation, base editing, and mutation/correction studies. Timelines may vary depending on target complexity, and additional optimization or cloning efforts can be requested for an extra fee.</w:t>
      </w:r>
    </w:p>
    <w:p w14:paraId="47B3C495" w14:textId="6E663DEB" w:rsidR="00075B14" w:rsidRPr="005039F9" w:rsidRDefault="00075B14" w:rsidP="005039F9"/>
    <w:sectPr w:rsidR="00075B14" w:rsidRPr="005039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7E9"/>
    <w:multiLevelType w:val="multilevel"/>
    <w:tmpl w:val="7D7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C4179"/>
    <w:multiLevelType w:val="multilevel"/>
    <w:tmpl w:val="F4D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B5E3B"/>
    <w:multiLevelType w:val="multilevel"/>
    <w:tmpl w:val="6AF8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F4FB3"/>
    <w:multiLevelType w:val="multilevel"/>
    <w:tmpl w:val="B66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84605"/>
    <w:multiLevelType w:val="multilevel"/>
    <w:tmpl w:val="C6D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5D4D"/>
    <w:multiLevelType w:val="multilevel"/>
    <w:tmpl w:val="3D6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A2F77"/>
    <w:multiLevelType w:val="multilevel"/>
    <w:tmpl w:val="244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6294E"/>
    <w:multiLevelType w:val="multilevel"/>
    <w:tmpl w:val="A31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02439"/>
    <w:multiLevelType w:val="multilevel"/>
    <w:tmpl w:val="A52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E3C46"/>
    <w:multiLevelType w:val="multilevel"/>
    <w:tmpl w:val="21F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017BA"/>
    <w:multiLevelType w:val="multilevel"/>
    <w:tmpl w:val="D1C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96CC6"/>
    <w:multiLevelType w:val="multilevel"/>
    <w:tmpl w:val="85A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F2FB8"/>
    <w:multiLevelType w:val="multilevel"/>
    <w:tmpl w:val="CE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42137"/>
    <w:multiLevelType w:val="multilevel"/>
    <w:tmpl w:val="EBA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20BEB"/>
    <w:multiLevelType w:val="multilevel"/>
    <w:tmpl w:val="F4DA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5456A"/>
    <w:multiLevelType w:val="multilevel"/>
    <w:tmpl w:val="7AA0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8056E"/>
    <w:multiLevelType w:val="multilevel"/>
    <w:tmpl w:val="10EA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219CF"/>
    <w:multiLevelType w:val="multilevel"/>
    <w:tmpl w:val="B408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E1DFA"/>
    <w:multiLevelType w:val="multilevel"/>
    <w:tmpl w:val="540A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A3B41"/>
    <w:multiLevelType w:val="multilevel"/>
    <w:tmpl w:val="C8D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A2B72"/>
    <w:multiLevelType w:val="multilevel"/>
    <w:tmpl w:val="D9D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E3101"/>
    <w:multiLevelType w:val="multilevel"/>
    <w:tmpl w:val="62D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40077"/>
    <w:multiLevelType w:val="multilevel"/>
    <w:tmpl w:val="E9A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2FE9"/>
    <w:multiLevelType w:val="multilevel"/>
    <w:tmpl w:val="620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D305B1"/>
    <w:multiLevelType w:val="multilevel"/>
    <w:tmpl w:val="009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E6547"/>
    <w:multiLevelType w:val="multilevel"/>
    <w:tmpl w:val="626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A0245"/>
    <w:multiLevelType w:val="multilevel"/>
    <w:tmpl w:val="6A5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E4997"/>
    <w:multiLevelType w:val="multilevel"/>
    <w:tmpl w:val="F886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30E7B"/>
    <w:multiLevelType w:val="multilevel"/>
    <w:tmpl w:val="7F1E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B0301"/>
    <w:multiLevelType w:val="multilevel"/>
    <w:tmpl w:val="D86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F62AE"/>
    <w:multiLevelType w:val="multilevel"/>
    <w:tmpl w:val="F6F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F07FB"/>
    <w:multiLevelType w:val="multilevel"/>
    <w:tmpl w:val="A076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E3C0E"/>
    <w:multiLevelType w:val="multilevel"/>
    <w:tmpl w:val="41AC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525DC"/>
    <w:multiLevelType w:val="multilevel"/>
    <w:tmpl w:val="6AE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B0384"/>
    <w:multiLevelType w:val="multilevel"/>
    <w:tmpl w:val="F956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72B58"/>
    <w:multiLevelType w:val="multilevel"/>
    <w:tmpl w:val="FB6E6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0010"/>
    <w:multiLevelType w:val="multilevel"/>
    <w:tmpl w:val="41B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60C4C"/>
    <w:multiLevelType w:val="multilevel"/>
    <w:tmpl w:val="CDF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009141">
    <w:abstractNumId w:val="28"/>
  </w:num>
  <w:num w:numId="2" w16cid:durableId="2117866310">
    <w:abstractNumId w:val="34"/>
  </w:num>
  <w:num w:numId="3" w16cid:durableId="1412196355">
    <w:abstractNumId w:val="11"/>
  </w:num>
  <w:num w:numId="4" w16cid:durableId="922227129">
    <w:abstractNumId w:val="36"/>
  </w:num>
  <w:num w:numId="5" w16cid:durableId="885678303">
    <w:abstractNumId w:val="7"/>
  </w:num>
  <w:num w:numId="6" w16cid:durableId="656149766">
    <w:abstractNumId w:val="6"/>
  </w:num>
  <w:num w:numId="7" w16cid:durableId="173806385">
    <w:abstractNumId w:val="8"/>
  </w:num>
  <w:num w:numId="8" w16cid:durableId="1859348088">
    <w:abstractNumId w:val="31"/>
  </w:num>
  <w:num w:numId="9" w16cid:durableId="144979518">
    <w:abstractNumId w:val="23"/>
  </w:num>
  <w:num w:numId="10" w16cid:durableId="1796438723">
    <w:abstractNumId w:val="15"/>
  </w:num>
  <w:num w:numId="11" w16cid:durableId="1673679603">
    <w:abstractNumId w:val="26"/>
  </w:num>
  <w:num w:numId="12" w16cid:durableId="840852795">
    <w:abstractNumId w:val="4"/>
  </w:num>
  <w:num w:numId="13" w16cid:durableId="1166437094">
    <w:abstractNumId w:val="0"/>
  </w:num>
  <w:num w:numId="14" w16cid:durableId="1136221273">
    <w:abstractNumId w:val="19"/>
  </w:num>
  <w:num w:numId="15" w16cid:durableId="151603333">
    <w:abstractNumId w:val="2"/>
  </w:num>
  <w:num w:numId="16" w16cid:durableId="210002481">
    <w:abstractNumId w:val="29"/>
  </w:num>
  <w:num w:numId="17" w16cid:durableId="1186018277">
    <w:abstractNumId w:val="20"/>
  </w:num>
  <w:num w:numId="18" w16cid:durableId="79134313">
    <w:abstractNumId w:val="5"/>
  </w:num>
  <w:num w:numId="19" w16cid:durableId="1061560993">
    <w:abstractNumId w:val="24"/>
  </w:num>
  <w:num w:numId="20" w16cid:durableId="1547526635">
    <w:abstractNumId w:val="30"/>
  </w:num>
  <w:num w:numId="21" w16cid:durableId="1687902542">
    <w:abstractNumId w:val="18"/>
  </w:num>
  <w:num w:numId="22" w16cid:durableId="935358124">
    <w:abstractNumId w:val="25"/>
  </w:num>
  <w:num w:numId="23" w16cid:durableId="663975501">
    <w:abstractNumId w:val="9"/>
  </w:num>
  <w:num w:numId="24" w16cid:durableId="1047948810">
    <w:abstractNumId w:val="16"/>
  </w:num>
  <w:num w:numId="25" w16cid:durableId="269047133">
    <w:abstractNumId w:val="21"/>
  </w:num>
  <w:num w:numId="26" w16cid:durableId="1030833800">
    <w:abstractNumId w:val="13"/>
  </w:num>
  <w:num w:numId="27" w16cid:durableId="496843403">
    <w:abstractNumId w:val="17"/>
  </w:num>
  <w:num w:numId="28" w16cid:durableId="1101488714">
    <w:abstractNumId w:val="35"/>
  </w:num>
  <w:num w:numId="29" w16cid:durableId="1228682207">
    <w:abstractNumId w:val="1"/>
  </w:num>
  <w:num w:numId="30" w16cid:durableId="1187866991">
    <w:abstractNumId w:val="14"/>
  </w:num>
  <w:num w:numId="31" w16cid:durableId="1883439202">
    <w:abstractNumId w:val="27"/>
  </w:num>
  <w:num w:numId="32" w16cid:durableId="757143728">
    <w:abstractNumId w:val="32"/>
  </w:num>
  <w:num w:numId="33" w16cid:durableId="796722733">
    <w:abstractNumId w:val="37"/>
  </w:num>
  <w:num w:numId="34" w16cid:durableId="645627720">
    <w:abstractNumId w:val="22"/>
  </w:num>
  <w:num w:numId="35" w16cid:durableId="1540050416">
    <w:abstractNumId w:val="33"/>
  </w:num>
  <w:num w:numId="36" w16cid:durableId="697707279">
    <w:abstractNumId w:val="3"/>
  </w:num>
  <w:num w:numId="37" w16cid:durableId="1392969625">
    <w:abstractNumId w:val="10"/>
  </w:num>
  <w:num w:numId="38" w16cid:durableId="1248609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90"/>
    <w:rsid w:val="000041C8"/>
    <w:rsid w:val="00045F56"/>
    <w:rsid w:val="00075B14"/>
    <w:rsid w:val="000871F7"/>
    <w:rsid w:val="000F4460"/>
    <w:rsid w:val="00111DFE"/>
    <w:rsid w:val="001501D5"/>
    <w:rsid w:val="001A132B"/>
    <w:rsid w:val="001A1E3F"/>
    <w:rsid w:val="001A29D2"/>
    <w:rsid w:val="001B70D3"/>
    <w:rsid w:val="002C3C9C"/>
    <w:rsid w:val="003F1A54"/>
    <w:rsid w:val="004377B7"/>
    <w:rsid w:val="005039F9"/>
    <w:rsid w:val="00533D0F"/>
    <w:rsid w:val="00595B02"/>
    <w:rsid w:val="005A4A73"/>
    <w:rsid w:val="005B4835"/>
    <w:rsid w:val="005C2422"/>
    <w:rsid w:val="005D177B"/>
    <w:rsid w:val="00606450"/>
    <w:rsid w:val="006659C1"/>
    <w:rsid w:val="006902E2"/>
    <w:rsid w:val="006C193E"/>
    <w:rsid w:val="006C396E"/>
    <w:rsid w:val="006C64F0"/>
    <w:rsid w:val="00762D4E"/>
    <w:rsid w:val="00783269"/>
    <w:rsid w:val="007C54FB"/>
    <w:rsid w:val="007C6E1A"/>
    <w:rsid w:val="007D38A8"/>
    <w:rsid w:val="007D4FAB"/>
    <w:rsid w:val="007E28CB"/>
    <w:rsid w:val="0080078F"/>
    <w:rsid w:val="00827C39"/>
    <w:rsid w:val="0086288C"/>
    <w:rsid w:val="00886D90"/>
    <w:rsid w:val="00892320"/>
    <w:rsid w:val="008A0E1B"/>
    <w:rsid w:val="008B4548"/>
    <w:rsid w:val="00921B49"/>
    <w:rsid w:val="009426BF"/>
    <w:rsid w:val="009A72A6"/>
    <w:rsid w:val="009C0BE6"/>
    <w:rsid w:val="009D7062"/>
    <w:rsid w:val="009E071F"/>
    <w:rsid w:val="009E572A"/>
    <w:rsid w:val="00A03E1A"/>
    <w:rsid w:val="00A11E37"/>
    <w:rsid w:val="00A271FA"/>
    <w:rsid w:val="00A275F1"/>
    <w:rsid w:val="00A60C52"/>
    <w:rsid w:val="00A70B34"/>
    <w:rsid w:val="00A808DF"/>
    <w:rsid w:val="00B03205"/>
    <w:rsid w:val="00B455CB"/>
    <w:rsid w:val="00B46FB2"/>
    <w:rsid w:val="00B77514"/>
    <w:rsid w:val="00BF0387"/>
    <w:rsid w:val="00BF1A45"/>
    <w:rsid w:val="00C22031"/>
    <w:rsid w:val="00C23982"/>
    <w:rsid w:val="00C67DBB"/>
    <w:rsid w:val="00CD0E68"/>
    <w:rsid w:val="00CE0442"/>
    <w:rsid w:val="00CF570F"/>
    <w:rsid w:val="00D12302"/>
    <w:rsid w:val="00D24D6A"/>
    <w:rsid w:val="00D369AD"/>
    <w:rsid w:val="00D36CE4"/>
    <w:rsid w:val="00DE3291"/>
    <w:rsid w:val="00DE4F9A"/>
    <w:rsid w:val="00E35C3A"/>
    <w:rsid w:val="00E80F59"/>
    <w:rsid w:val="00EA6838"/>
    <w:rsid w:val="00F5370A"/>
    <w:rsid w:val="00FC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41AE"/>
  <w15:chartTrackingRefBased/>
  <w15:docId w15:val="{6019BAA9-8CA9-4673-8E18-868D237C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F9"/>
  </w:style>
  <w:style w:type="paragraph" w:styleId="Heading1">
    <w:name w:val="heading 1"/>
    <w:basedOn w:val="Normal"/>
    <w:next w:val="Normal"/>
    <w:link w:val="Heading1Char"/>
    <w:uiPriority w:val="9"/>
    <w:qFormat/>
    <w:rsid w:val="0088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90"/>
    <w:rPr>
      <w:rFonts w:eastAsiaTheme="majorEastAsia" w:cstheme="majorBidi"/>
      <w:color w:val="272727" w:themeColor="text1" w:themeTint="D8"/>
    </w:rPr>
  </w:style>
  <w:style w:type="paragraph" w:styleId="Title">
    <w:name w:val="Title"/>
    <w:basedOn w:val="Normal"/>
    <w:next w:val="Normal"/>
    <w:link w:val="TitleChar"/>
    <w:uiPriority w:val="10"/>
    <w:qFormat/>
    <w:rsid w:val="0088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90"/>
    <w:pPr>
      <w:spacing w:before="160"/>
      <w:jc w:val="center"/>
    </w:pPr>
    <w:rPr>
      <w:i/>
      <w:iCs/>
      <w:color w:val="404040" w:themeColor="text1" w:themeTint="BF"/>
    </w:rPr>
  </w:style>
  <w:style w:type="character" w:customStyle="1" w:styleId="QuoteChar">
    <w:name w:val="Quote Char"/>
    <w:basedOn w:val="DefaultParagraphFont"/>
    <w:link w:val="Quote"/>
    <w:uiPriority w:val="29"/>
    <w:rsid w:val="00886D90"/>
    <w:rPr>
      <w:i/>
      <w:iCs/>
      <w:color w:val="404040" w:themeColor="text1" w:themeTint="BF"/>
    </w:rPr>
  </w:style>
  <w:style w:type="paragraph" w:styleId="ListParagraph">
    <w:name w:val="List Paragraph"/>
    <w:basedOn w:val="Normal"/>
    <w:uiPriority w:val="34"/>
    <w:qFormat/>
    <w:rsid w:val="00886D90"/>
    <w:pPr>
      <w:ind w:left="720"/>
      <w:contextualSpacing/>
    </w:pPr>
  </w:style>
  <w:style w:type="character" w:styleId="IntenseEmphasis">
    <w:name w:val="Intense Emphasis"/>
    <w:basedOn w:val="DefaultParagraphFont"/>
    <w:uiPriority w:val="21"/>
    <w:qFormat/>
    <w:rsid w:val="00886D90"/>
    <w:rPr>
      <w:i/>
      <w:iCs/>
      <w:color w:val="0F4761" w:themeColor="accent1" w:themeShade="BF"/>
    </w:rPr>
  </w:style>
  <w:style w:type="paragraph" w:styleId="IntenseQuote">
    <w:name w:val="Intense Quote"/>
    <w:basedOn w:val="Normal"/>
    <w:next w:val="Normal"/>
    <w:link w:val="IntenseQuoteChar"/>
    <w:uiPriority w:val="30"/>
    <w:qFormat/>
    <w:rsid w:val="0088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D90"/>
    <w:rPr>
      <w:i/>
      <w:iCs/>
      <w:color w:val="0F4761" w:themeColor="accent1" w:themeShade="BF"/>
    </w:rPr>
  </w:style>
  <w:style w:type="character" w:styleId="IntenseReference">
    <w:name w:val="Intense Reference"/>
    <w:basedOn w:val="DefaultParagraphFont"/>
    <w:uiPriority w:val="32"/>
    <w:qFormat/>
    <w:rsid w:val="00886D90"/>
    <w:rPr>
      <w:b/>
      <w:bCs/>
      <w:smallCaps/>
      <w:color w:val="0F4761" w:themeColor="accent1" w:themeShade="BF"/>
      <w:spacing w:val="5"/>
    </w:rPr>
  </w:style>
  <w:style w:type="paragraph" w:styleId="NormalWeb">
    <w:name w:val="Normal (Web)"/>
    <w:basedOn w:val="Normal"/>
    <w:uiPriority w:val="99"/>
    <w:semiHidden/>
    <w:unhideWhenUsed/>
    <w:rsid w:val="00BF0387"/>
    <w:rPr>
      <w:rFonts w:ascii="Times New Roman" w:hAnsi="Times New Roman" w:cs="Times New Roman"/>
    </w:rPr>
  </w:style>
  <w:style w:type="table" w:styleId="TableGrid">
    <w:name w:val="Table Grid"/>
    <w:basedOn w:val="TableNormal"/>
    <w:uiPriority w:val="39"/>
    <w:rsid w:val="00E8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F9A"/>
    <w:rPr>
      <w:color w:val="467886" w:themeColor="hyperlink"/>
      <w:u w:val="single"/>
    </w:rPr>
  </w:style>
  <w:style w:type="character" w:styleId="UnresolvedMention">
    <w:name w:val="Unresolved Mention"/>
    <w:basedOn w:val="DefaultParagraphFont"/>
    <w:uiPriority w:val="99"/>
    <w:semiHidden/>
    <w:unhideWhenUsed/>
    <w:rsid w:val="00DE4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rive.google.com/drive/folders/1W5he7ZymwIhnmu0wH4fOr6GUgsX2iYpu?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Ata</dc:creator>
  <cp:keywords/>
  <dc:description/>
  <cp:lastModifiedBy>Alison Killilea</cp:lastModifiedBy>
  <cp:revision>2</cp:revision>
  <dcterms:created xsi:type="dcterms:W3CDTF">2026-04-03T18:05:00Z</dcterms:created>
  <dcterms:modified xsi:type="dcterms:W3CDTF">2026-04-03T18:05:00Z</dcterms:modified>
</cp:coreProperties>
</file>