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7F75" w14:textId="40D2E116" w:rsidR="00533D0F" w:rsidRPr="00533D0F" w:rsidRDefault="005039F9" w:rsidP="00533D0F">
      <w:pPr>
        <w:rPr>
          <w:b/>
          <w:bCs/>
        </w:rPr>
      </w:pPr>
      <w:r>
        <w:br/>
      </w:r>
      <w:r w:rsidR="00533D0F" w:rsidRPr="00533D0F">
        <w:rPr>
          <w:b/>
          <w:bCs/>
        </w:rPr>
        <w:t xml:space="preserve">iPSC Generation </w:t>
      </w:r>
      <w:r w:rsidR="00533D0F">
        <w:rPr>
          <w:b/>
          <w:bCs/>
        </w:rPr>
        <w:t>Service</w:t>
      </w:r>
    </w:p>
    <w:p w14:paraId="49CEA975" w14:textId="77777777" w:rsidR="00533D0F" w:rsidRPr="00533D0F" w:rsidRDefault="00533D0F" w:rsidP="00533D0F">
      <w:pPr>
        <w:rPr>
          <w:sz w:val="20"/>
          <w:szCs w:val="20"/>
        </w:rPr>
      </w:pPr>
      <w:r w:rsidRPr="00533D0F">
        <w:rPr>
          <w:sz w:val="20"/>
          <w:szCs w:val="20"/>
        </w:rPr>
        <w:t>Transform patient-derived fibroblasts or PBMCs into stable, expandable induced pluripotent stem cells (iPSCs) using integration-free methods. Our facility produces high-quality, patient-specific lines that enable disease modeling, including the study of genotype-phenotype correlations, and drug discovery applications for validating therapeutic targets in disease-relevant human cells. Generated lines are fully compatible with downstream applications, including genome editing, functional assays, and QC workflows.</w:t>
      </w:r>
    </w:p>
    <w:p w14:paraId="1847D462" w14:textId="77777777" w:rsidR="00533D0F" w:rsidRPr="00533D0F" w:rsidRDefault="00533D0F" w:rsidP="00533D0F">
      <w:pPr>
        <w:rPr>
          <w:sz w:val="20"/>
          <w:szCs w:val="20"/>
        </w:rPr>
      </w:pPr>
      <w:r w:rsidRPr="00533D0F">
        <w:rPr>
          <w:b/>
          <w:bCs/>
          <w:sz w:val="20"/>
          <w:szCs w:val="20"/>
        </w:rPr>
        <w:t>Key Benefits</w:t>
      </w:r>
    </w:p>
    <w:p w14:paraId="16AB7624" w14:textId="77777777" w:rsidR="00533D0F" w:rsidRPr="00533D0F" w:rsidRDefault="00533D0F" w:rsidP="00533D0F">
      <w:pPr>
        <w:numPr>
          <w:ilvl w:val="0"/>
          <w:numId w:val="33"/>
        </w:numPr>
        <w:rPr>
          <w:sz w:val="20"/>
          <w:szCs w:val="20"/>
        </w:rPr>
      </w:pPr>
      <w:r w:rsidRPr="00533D0F">
        <w:rPr>
          <w:b/>
          <w:bCs/>
          <w:sz w:val="20"/>
          <w:szCs w:val="20"/>
        </w:rPr>
        <w:t>Validated Quality:</w:t>
      </w:r>
      <w:r w:rsidRPr="00533D0F">
        <w:rPr>
          <w:sz w:val="20"/>
          <w:szCs w:val="20"/>
        </w:rPr>
        <w:t xml:space="preserve"> Lines are reproducible, stable, and free of reprogramming vectors.</w:t>
      </w:r>
    </w:p>
    <w:p w14:paraId="4AE001F1" w14:textId="77777777" w:rsidR="00533D0F" w:rsidRPr="00533D0F" w:rsidRDefault="00533D0F" w:rsidP="00533D0F">
      <w:pPr>
        <w:numPr>
          <w:ilvl w:val="0"/>
          <w:numId w:val="33"/>
        </w:numPr>
        <w:rPr>
          <w:sz w:val="20"/>
          <w:szCs w:val="20"/>
        </w:rPr>
      </w:pPr>
      <w:r w:rsidRPr="00533D0F">
        <w:rPr>
          <w:b/>
          <w:bCs/>
          <w:sz w:val="20"/>
          <w:szCs w:val="20"/>
        </w:rPr>
        <w:t>Validated Workflows:</w:t>
      </w:r>
      <w:r w:rsidRPr="00533D0F">
        <w:rPr>
          <w:sz w:val="20"/>
          <w:szCs w:val="20"/>
        </w:rPr>
        <w:t xml:space="preserve"> Optimized protocols for high efficiency and reproducibility.</w:t>
      </w:r>
    </w:p>
    <w:p w14:paraId="0EB7639B" w14:textId="77777777" w:rsidR="00533D0F" w:rsidRPr="00533D0F" w:rsidRDefault="00533D0F" w:rsidP="00533D0F">
      <w:pPr>
        <w:numPr>
          <w:ilvl w:val="0"/>
          <w:numId w:val="33"/>
        </w:numPr>
        <w:rPr>
          <w:sz w:val="20"/>
          <w:szCs w:val="20"/>
        </w:rPr>
      </w:pPr>
      <w:r w:rsidRPr="00533D0F">
        <w:rPr>
          <w:b/>
          <w:bCs/>
          <w:sz w:val="20"/>
          <w:szCs w:val="20"/>
        </w:rPr>
        <w:t>Downstream Compatibility:</w:t>
      </w:r>
      <w:r w:rsidRPr="00533D0F">
        <w:rPr>
          <w:sz w:val="20"/>
          <w:szCs w:val="20"/>
        </w:rPr>
        <w:t xml:space="preserve"> Fully compatible with our QC, characterization, and gene editing pipelines.</w:t>
      </w:r>
    </w:p>
    <w:p w14:paraId="2C74D7C0" w14:textId="77777777" w:rsidR="00533D0F" w:rsidRPr="00533D0F" w:rsidRDefault="00533D0F" w:rsidP="00533D0F">
      <w:pPr>
        <w:numPr>
          <w:ilvl w:val="0"/>
          <w:numId w:val="33"/>
        </w:numPr>
        <w:rPr>
          <w:sz w:val="20"/>
          <w:szCs w:val="20"/>
        </w:rPr>
      </w:pPr>
      <w:r w:rsidRPr="00533D0F">
        <w:rPr>
          <w:b/>
          <w:bCs/>
          <w:sz w:val="20"/>
          <w:szCs w:val="20"/>
        </w:rPr>
        <w:t>Integration-Free:</w:t>
      </w:r>
      <w:r w:rsidRPr="00533D0F">
        <w:rPr>
          <w:sz w:val="20"/>
          <w:szCs w:val="20"/>
        </w:rPr>
        <w:t xml:space="preserve"> Avoids genomic integration of reprogramming factors.</w:t>
      </w:r>
    </w:p>
    <w:p w14:paraId="4948B9D2" w14:textId="77777777" w:rsidR="006C193E" w:rsidRDefault="00533D0F" w:rsidP="006C193E">
      <w:pPr>
        <w:numPr>
          <w:ilvl w:val="0"/>
          <w:numId w:val="33"/>
        </w:numPr>
        <w:rPr>
          <w:sz w:val="20"/>
          <w:szCs w:val="20"/>
        </w:rPr>
      </w:pPr>
      <w:r w:rsidRPr="00533D0F">
        <w:rPr>
          <w:b/>
          <w:bCs/>
          <w:sz w:val="20"/>
          <w:szCs w:val="20"/>
        </w:rPr>
        <w:t>Scalable:</w:t>
      </w:r>
      <w:r w:rsidRPr="00533D0F">
        <w:rPr>
          <w:sz w:val="20"/>
          <w:szCs w:val="20"/>
        </w:rPr>
        <w:t xml:space="preserve"> Workflows support single-patient studies and larger cohort-based projects.</w:t>
      </w:r>
    </w:p>
    <w:p w14:paraId="0BB4DCD3" w14:textId="630B7307" w:rsidR="006C193E" w:rsidRPr="006C193E" w:rsidRDefault="006C193E" w:rsidP="006C193E">
      <w:pPr>
        <w:rPr>
          <w:sz w:val="20"/>
          <w:szCs w:val="20"/>
        </w:rPr>
      </w:pPr>
      <w:r w:rsidRPr="006C193E">
        <w:rPr>
          <w:b/>
          <w:bCs/>
          <w:sz w:val="20"/>
          <w:szCs w:val="20"/>
        </w:rPr>
        <w:t>Deliverables</w:t>
      </w:r>
    </w:p>
    <w:p w14:paraId="348853EF" w14:textId="77777777" w:rsidR="006C193E" w:rsidRPr="006C193E" w:rsidRDefault="006C193E" w:rsidP="006C193E">
      <w:pPr>
        <w:numPr>
          <w:ilvl w:val="0"/>
          <w:numId w:val="33"/>
        </w:numPr>
        <w:rPr>
          <w:sz w:val="20"/>
          <w:szCs w:val="20"/>
        </w:rPr>
      </w:pPr>
      <w:r w:rsidRPr="006C193E">
        <w:rPr>
          <w:sz w:val="20"/>
          <w:szCs w:val="20"/>
        </w:rPr>
        <w:t>Fully characterized, patient-specific iPSC lines ready for downstream applications</w:t>
      </w:r>
    </w:p>
    <w:p w14:paraId="6D08C406" w14:textId="77777777" w:rsidR="006C193E" w:rsidRPr="006C193E" w:rsidRDefault="006C193E" w:rsidP="006C193E">
      <w:pPr>
        <w:numPr>
          <w:ilvl w:val="0"/>
          <w:numId w:val="33"/>
        </w:numPr>
        <w:rPr>
          <w:sz w:val="20"/>
          <w:szCs w:val="20"/>
        </w:rPr>
      </w:pPr>
      <w:r w:rsidRPr="006C193E">
        <w:rPr>
          <w:sz w:val="20"/>
          <w:szCs w:val="20"/>
        </w:rPr>
        <w:t>QC report documenting pluripotency, viability, and sterility</w:t>
      </w:r>
    </w:p>
    <w:p w14:paraId="7FE0D3C2" w14:textId="79822015" w:rsidR="006C193E" w:rsidRPr="00533D0F" w:rsidRDefault="006C193E" w:rsidP="006C396E">
      <w:pPr>
        <w:numPr>
          <w:ilvl w:val="0"/>
          <w:numId w:val="33"/>
        </w:numPr>
        <w:rPr>
          <w:sz w:val="20"/>
          <w:szCs w:val="20"/>
        </w:rPr>
      </w:pPr>
      <w:r w:rsidRPr="006C193E">
        <w:rPr>
          <w:sz w:val="20"/>
          <w:szCs w:val="20"/>
        </w:rPr>
        <w:t>Documentation suitable for internal records, publications, or regulatory submission</w:t>
      </w:r>
    </w:p>
    <w:p w14:paraId="5C2FD8F3" w14:textId="5501FFDC" w:rsidR="005039F9" w:rsidRDefault="003F1A54" w:rsidP="005039F9">
      <w:pPr>
        <w:rPr>
          <w:b/>
          <w:bCs/>
        </w:rPr>
      </w:pPr>
      <w:r>
        <w:rPr>
          <w:b/>
          <w:bCs/>
        </w:rPr>
        <w:t>IPSC Reprogramming Timeline</w:t>
      </w:r>
      <w:r w:rsidR="005039F9">
        <w:rPr>
          <w:b/>
          <w:bCs/>
        </w:rPr>
        <w:br/>
      </w:r>
      <w:r w:rsidR="00B46FB2">
        <w:rPr>
          <w:noProof/>
        </w:rPr>
        <w:drawing>
          <wp:inline distT="0" distB="0" distL="0" distR="0" wp14:anchorId="07CF317F" wp14:editId="5CE1D1F2">
            <wp:extent cx="5939790" cy="1415415"/>
            <wp:effectExtent l="0" t="0" r="3810" b="0"/>
            <wp:docPr id="1014942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B86A" w14:textId="1DC9C2EA" w:rsidR="006C396E" w:rsidRDefault="00DE4F9A" w:rsidP="005039F9">
      <w:pPr>
        <w:rPr>
          <w:b/>
          <w:bCs/>
        </w:rPr>
      </w:pPr>
      <w:hyperlink r:id="rId6" w:tgtFrame="_blank" w:tooltip="https://drive.google.com/drive/folders/1n9spYaapdsnxOrF9-HHssuBEvz0nLWEJ?usp=sharing" w:history="1">
        <w:r w:rsidRPr="00DE4F9A">
          <w:rPr>
            <w:rStyle w:val="Hyperlink"/>
            <w:b/>
            <w:bCs/>
          </w:rPr>
          <w:t>https://drive.google.com/drive/folders/1n9spYaapdsnxOrF9-HHssuBEvz0nLWEJ?usp=sharing</w:t>
        </w:r>
      </w:hyperlink>
    </w:p>
    <w:p w14:paraId="5A94D448" w14:textId="77777777" w:rsidR="006C396E" w:rsidRDefault="006C396E" w:rsidP="005039F9">
      <w:pPr>
        <w:rPr>
          <w:b/>
          <w:bCs/>
        </w:rPr>
      </w:pPr>
    </w:p>
    <w:p w14:paraId="22ACB88A" w14:textId="77777777" w:rsidR="006C396E" w:rsidRDefault="006C396E" w:rsidP="005039F9">
      <w:pPr>
        <w:rPr>
          <w:b/>
          <w:bCs/>
        </w:rPr>
      </w:pPr>
    </w:p>
    <w:p w14:paraId="7471958D" w14:textId="77777777" w:rsidR="006C396E" w:rsidRDefault="006C396E" w:rsidP="005039F9">
      <w:pPr>
        <w:rPr>
          <w:b/>
          <w:bCs/>
        </w:rPr>
      </w:pPr>
    </w:p>
    <w:p w14:paraId="09B04B48" w14:textId="4FEFBB12" w:rsidR="00827C39" w:rsidRDefault="00D12302" w:rsidP="005039F9">
      <w:pPr>
        <w:rPr>
          <w:b/>
          <w:bCs/>
        </w:rPr>
      </w:pPr>
      <w:r>
        <w:rPr>
          <w:b/>
          <w:bCs/>
        </w:rPr>
        <w:lastRenderedPageBreak/>
        <w:br/>
      </w:r>
      <w:r>
        <w:rPr>
          <w:b/>
          <w:bCs/>
        </w:rPr>
        <w:br/>
      </w:r>
      <w:r w:rsidR="003F1A54">
        <w:rPr>
          <w:b/>
          <w:bCs/>
        </w:rPr>
        <w:t>IPSC Reprogramming Service Table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1"/>
        <w:gridCol w:w="1857"/>
        <w:gridCol w:w="2765"/>
        <w:gridCol w:w="1473"/>
      </w:tblGrid>
      <w:tr w:rsidR="009C0BE6" w:rsidRPr="001B70D3" w14:paraId="6E833E74" w14:textId="77777777" w:rsidTr="00EA6838">
        <w:trPr>
          <w:trHeight w:val="284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2B7141" w14:textId="77777777" w:rsidR="001B70D3" w:rsidRPr="001B70D3" w:rsidRDefault="001B70D3" w:rsidP="009C0B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Service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A4AF05" w14:textId="044D0DAE" w:rsidR="001B70D3" w:rsidRPr="001B70D3" w:rsidRDefault="00EA6838" w:rsidP="009C0B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Price</w:t>
            </w:r>
          </w:p>
        </w:tc>
        <w:tc>
          <w:tcPr>
            <w:tcW w:w="27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B1594" w14:textId="5EC9B568" w:rsidR="001B70D3" w:rsidRPr="001B70D3" w:rsidRDefault="001B70D3" w:rsidP="009C0B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Add</w:t>
            </w:r>
            <w:r w:rsidR="009C0BE6">
              <w:rPr>
                <w:rFonts w:ascii="Aptos" w:eastAsia="Times New Roman" w:hAnsi="Aptos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 xml:space="preserve">. </w:t>
            </w:r>
            <w:r w:rsidRPr="001B70D3">
              <w:rPr>
                <w:rFonts w:ascii="Aptos" w:eastAsia="Times New Roman" w:hAnsi="Aptos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Clones (After 3</w:t>
            </w:r>
            <w:proofErr w:type="spellStart"/>
            <w:r w:rsidRPr="001B70D3">
              <w:rPr>
                <w:rFonts w:ascii="Aptos" w:eastAsia="Times New Roman" w:hAnsi="Aptos" w:cs="Arial"/>
                <w:b/>
                <w:bCs/>
                <w:color w:val="FFFFFF"/>
                <w:kern w:val="24"/>
                <w:position w:val="10"/>
                <w:sz w:val="20"/>
                <w:szCs w:val="20"/>
                <w:vertAlign w:val="superscript"/>
                <w14:ligatures w14:val="none"/>
              </w:rPr>
              <w:t>rd</w:t>
            </w:r>
            <w:proofErr w:type="spellEnd"/>
            <w:r w:rsidRPr="001B70D3">
              <w:rPr>
                <w:rFonts w:ascii="Aptos" w:eastAsia="Times New Roman" w:hAnsi="Aptos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7A289" w14:textId="77777777" w:rsidR="001B70D3" w:rsidRPr="001B70D3" w:rsidRDefault="001B70D3" w:rsidP="009C0B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Timeline</w:t>
            </w:r>
          </w:p>
        </w:tc>
      </w:tr>
      <w:tr w:rsidR="009C0BE6" w:rsidRPr="001B70D3" w14:paraId="6BD6A2F2" w14:textId="77777777" w:rsidTr="00EA6838">
        <w:trPr>
          <w:trHeight w:val="284"/>
        </w:trPr>
        <w:tc>
          <w:tcPr>
            <w:tcW w:w="32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FDC6E" w14:textId="77777777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Reprogramming</w:t>
            </w:r>
          </w:p>
        </w:tc>
        <w:tc>
          <w:tcPr>
            <w:tcW w:w="18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83E34" w14:textId="41FD3093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14:ligatures w14:val="none"/>
              </w:rPr>
              <w:t>$6,</w:t>
            </w:r>
            <w:r w:rsidR="00B7487B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14:ligatures w14:val="none"/>
              </w:rPr>
              <w:t>75</w:t>
            </w:r>
            <w:r w:rsidRPr="001B70D3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7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72D59" w14:textId="77777777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14:ligatures w14:val="none"/>
              </w:rPr>
              <w:t>$500 - $1000</w:t>
            </w:r>
          </w:p>
        </w:tc>
        <w:tc>
          <w:tcPr>
            <w:tcW w:w="14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D3B515" w14:textId="784ABB51" w:rsidR="001B70D3" w:rsidRPr="00A11E37" w:rsidRDefault="001B70D3" w:rsidP="001B70D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11E37">
              <w:rPr>
                <w:rFonts w:eastAsia="Times New Roman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14 weeks</w:t>
            </w:r>
          </w:p>
        </w:tc>
      </w:tr>
      <w:tr w:rsidR="009C0BE6" w:rsidRPr="001B70D3" w14:paraId="44B14AF6" w14:textId="77777777" w:rsidTr="00EA6838">
        <w:trPr>
          <w:trHeight w:val="284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360039" w14:textId="660102BE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CNV Analysis (WGS 0.3X)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34A2C" w14:textId="186D4131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14:ligatures w14:val="none"/>
              </w:rPr>
              <w:t>$59.5 (gDNA)</w:t>
            </w:r>
          </w:p>
        </w:tc>
        <w:tc>
          <w:tcPr>
            <w:tcW w:w="2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314E0D" w14:textId="77777777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C4148" w14:textId="77777777" w:rsidR="001B70D3" w:rsidRPr="00A11E37" w:rsidRDefault="001B70D3" w:rsidP="001B70D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11E37">
              <w:rPr>
                <w:rFonts w:eastAsia="Times New Roman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4-6 weeks</w:t>
            </w:r>
          </w:p>
        </w:tc>
      </w:tr>
      <w:tr w:rsidR="009C0BE6" w:rsidRPr="001B70D3" w14:paraId="2AA327A3" w14:textId="77777777" w:rsidTr="00EA6838">
        <w:trPr>
          <w:trHeight w:val="284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5971B" w14:textId="77777777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Immunofluorescence of Pluripotency Markers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D2DB8B" w14:textId="77777777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14:ligatures w14:val="none"/>
              </w:rPr>
              <w:t>$60</w:t>
            </w:r>
          </w:p>
        </w:tc>
        <w:tc>
          <w:tcPr>
            <w:tcW w:w="2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D638C" w14:textId="77777777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14:ligatures w14:val="none"/>
              </w:rPr>
              <w:t>$20</w:t>
            </w:r>
          </w:p>
        </w:tc>
        <w:tc>
          <w:tcPr>
            <w:tcW w:w="1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20DBF4" w14:textId="77777777" w:rsidR="001B70D3" w:rsidRPr="00A11E37" w:rsidRDefault="001B70D3" w:rsidP="001B70D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11E37">
              <w:rPr>
                <w:rFonts w:eastAsia="Times New Roman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 weeks</w:t>
            </w:r>
          </w:p>
        </w:tc>
      </w:tr>
      <w:tr w:rsidR="009C0BE6" w:rsidRPr="001B70D3" w14:paraId="0EBF159E" w14:textId="77777777" w:rsidTr="00EA6838">
        <w:trPr>
          <w:trHeight w:val="284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465C4" w14:textId="77777777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Trilineage Differentiation Assay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0E9F9" w14:textId="77777777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14:ligatures w14:val="none"/>
              </w:rPr>
              <w:t>$300</w:t>
            </w:r>
          </w:p>
        </w:tc>
        <w:tc>
          <w:tcPr>
            <w:tcW w:w="2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C99CC" w14:textId="77777777" w:rsidR="001B70D3" w:rsidRPr="001B70D3" w:rsidRDefault="001B70D3" w:rsidP="001B70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B70D3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14:ligatures w14:val="none"/>
              </w:rPr>
              <w:t>$100</w:t>
            </w:r>
          </w:p>
        </w:tc>
        <w:tc>
          <w:tcPr>
            <w:tcW w:w="1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5049E" w14:textId="6740E3AD" w:rsidR="001B70D3" w:rsidRPr="00A11E37" w:rsidRDefault="001B70D3" w:rsidP="001B70D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11E37">
              <w:rPr>
                <w:rFonts w:eastAsia="Times New Roman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</w:t>
            </w:r>
            <w:r w:rsidR="00C23982" w:rsidRPr="00A11E37">
              <w:rPr>
                <w:rFonts w:eastAsia="Times New Roman" w:cs="Arial"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A11E37">
              <w:rPr>
                <w:rFonts w:eastAsia="Times New Roman" w:cs="Arial"/>
                <w:color w:val="000000" w:themeColor="text1"/>
                <w:kern w:val="24"/>
                <w:sz w:val="20"/>
                <w:szCs w:val="20"/>
                <w14:ligatures w14:val="none"/>
              </w:rPr>
              <w:t>weeks</w:t>
            </w:r>
          </w:p>
        </w:tc>
      </w:tr>
    </w:tbl>
    <w:p w14:paraId="1D8459A1" w14:textId="77777777" w:rsidR="00533D0F" w:rsidRDefault="00762D4E" w:rsidP="005039F9">
      <w:pPr>
        <w:rPr>
          <w:i/>
          <w:iCs/>
          <w:sz w:val="16"/>
          <w:szCs w:val="16"/>
        </w:rPr>
      </w:pPr>
      <w:r w:rsidRPr="00533D0F">
        <w:rPr>
          <w:b/>
          <w:bCs/>
          <w:i/>
          <w:iCs/>
          <w:sz w:val="16"/>
          <w:szCs w:val="16"/>
        </w:rPr>
        <w:t xml:space="preserve">* </w:t>
      </w:r>
      <w:r w:rsidRPr="00533D0F">
        <w:rPr>
          <w:i/>
          <w:iCs/>
          <w:sz w:val="16"/>
          <w:szCs w:val="16"/>
        </w:rPr>
        <w:t>Basic Reprogramming Service typically takes 4–6 months and includes expansion and sequence validation of 3 modified clones, sterility/mycoplasma testing, freeze–thaw viability, pluripotency marker staining, and CNV analysis. Additional services, such as tri-lineage differentiation assays, are available upon request</w:t>
      </w:r>
      <w:r w:rsidR="00533D0F">
        <w:rPr>
          <w:i/>
          <w:iCs/>
          <w:sz w:val="16"/>
          <w:szCs w:val="16"/>
        </w:rPr>
        <w:t xml:space="preserve">. </w:t>
      </w:r>
      <w:r w:rsidRPr="00762D4E">
        <w:rPr>
          <w:i/>
          <w:iCs/>
          <w:sz w:val="16"/>
          <w:szCs w:val="16"/>
        </w:rPr>
        <w:t>Patient-specific mutations may cause variability and potential delays. Additional clones can be requested for an extra fee.</w:t>
      </w:r>
    </w:p>
    <w:p w14:paraId="0BCCF80B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31FC04D3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5D4C568F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52FE0EE8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3C8C0DCD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11482ED8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5B870041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557F8604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33091EA8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48B02108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419E146F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7B69190C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446B3294" w14:textId="77777777" w:rsidR="006C396E" w:rsidRDefault="006C396E" w:rsidP="006C193E">
      <w:pPr>
        <w:spacing w:before="100" w:beforeAutospacing="1" w:after="100" w:afterAutospacing="1" w:line="240" w:lineRule="auto"/>
        <w:rPr>
          <w:b/>
          <w:bCs/>
        </w:rPr>
      </w:pPr>
    </w:p>
    <w:p w14:paraId="47B3C495" w14:textId="6E663DEB" w:rsidR="00075B14" w:rsidRPr="005039F9" w:rsidRDefault="00075B14" w:rsidP="005039F9"/>
    <w:sectPr w:rsidR="00075B14" w:rsidRPr="00503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7E9"/>
    <w:multiLevelType w:val="multilevel"/>
    <w:tmpl w:val="7D74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C4179"/>
    <w:multiLevelType w:val="multilevel"/>
    <w:tmpl w:val="F4D4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B5E3B"/>
    <w:multiLevelType w:val="multilevel"/>
    <w:tmpl w:val="6AF8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F4FB3"/>
    <w:multiLevelType w:val="multilevel"/>
    <w:tmpl w:val="B66C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84605"/>
    <w:multiLevelType w:val="multilevel"/>
    <w:tmpl w:val="C6D0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25D4D"/>
    <w:multiLevelType w:val="multilevel"/>
    <w:tmpl w:val="3D62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A2F77"/>
    <w:multiLevelType w:val="multilevel"/>
    <w:tmpl w:val="2446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6294E"/>
    <w:multiLevelType w:val="multilevel"/>
    <w:tmpl w:val="A312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02439"/>
    <w:multiLevelType w:val="multilevel"/>
    <w:tmpl w:val="A52A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E3C46"/>
    <w:multiLevelType w:val="multilevel"/>
    <w:tmpl w:val="21F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017BA"/>
    <w:multiLevelType w:val="multilevel"/>
    <w:tmpl w:val="D1CA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96CC6"/>
    <w:multiLevelType w:val="multilevel"/>
    <w:tmpl w:val="85A8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F2FB8"/>
    <w:multiLevelType w:val="multilevel"/>
    <w:tmpl w:val="CE70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42137"/>
    <w:multiLevelType w:val="multilevel"/>
    <w:tmpl w:val="EBA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20BEB"/>
    <w:multiLevelType w:val="multilevel"/>
    <w:tmpl w:val="F4DA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5456A"/>
    <w:multiLevelType w:val="multilevel"/>
    <w:tmpl w:val="7AA0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8056E"/>
    <w:multiLevelType w:val="multilevel"/>
    <w:tmpl w:val="10EA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219CF"/>
    <w:multiLevelType w:val="multilevel"/>
    <w:tmpl w:val="B408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E1DFA"/>
    <w:multiLevelType w:val="multilevel"/>
    <w:tmpl w:val="540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A3B41"/>
    <w:multiLevelType w:val="multilevel"/>
    <w:tmpl w:val="C8D8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0A2B72"/>
    <w:multiLevelType w:val="multilevel"/>
    <w:tmpl w:val="D9D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E3101"/>
    <w:multiLevelType w:val="multilevel"/>
    <w:tmpl w:val="62DA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40077"/>
    <w:multiLevelType w:val="multilevel"/>
    <w:tmpl w:val="E9A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B02FE9"/>
    <w:multiLevelType w:val="multilevel"/>
    <w:tmpl w:val="6208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D305B1"/>
    <w:multiLevelType w:val="multilevel"/>
    <w:tmpl w:val="0098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4E6547"/>
    <w:multiLevelType w:val="multilevel"/>
    <w:tmpl w:val="6264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4A0245"/>
    <w:multiLevelType w:val="multilevel"/>
    <w:tmpl w:val="6A52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EE4997"/>
    <w:multiLevelType w:val="multilevel"/>
    <w:tmpl w:val="F886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A30E7B"/>
    <w:multiLevelType w:val="multilevel"/>
    <w:tmpl w:val="7F1E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B0301"/>
    <w:multiLevelType w:val="multilevel"/>
    <w:tmpl w:val="D86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F62AE"/>
    <w:multiLevelType w:val="multilevel"/>
    <w:tmpl w:val="F6F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F07FB"/>
    <w:multiLevelType w:val="multilevel"/>
    <w:tmpl w:val="A076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BE3C0E"/>
    <w:multiLevelType w:val="multilevel"/>
    <w:tmpl w:val="41AC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2525DC"/>
    <w:multiLevelType w:val="multilevel"/>
    <w:tmpl w:val="6AE4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2B0384"/>
    <w:multiLevelType w:val="multilevel"/>
    <w:tmpl w:val="F956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872B58"/>
    <w:multiLevelType w:val="multilevel"/>
    <w:tmpl w:val="FB6E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C20010"/>
    <w:multiLevelType w:val="multilevel"/>
    <w:tmpl w:val="41B0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360C4C"/>
    <w:multiLevelType w:val="multilevel"/>
    <w:tmpl w:val="CDF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009141">
    <w:abstractNumId w:val="28"/>
  </w:num>
  <w:num w:numId="2" w16cid:durableId="2117866310">
    <w:abstractNumId w:val="34"/>
  </w:num>
  <w:num w:numId="3" w16cid:durableId="1412196355">
    <w:abstractNumId w:val="11"/>
  </w:num>
  <w:num w:numId="4" w16cid:durableId="922227129">
    <w:abstractNumId w:val="36"/>
  </w:num>
  <w:num w:numId="5" w16cid:durableId="885678303">
    <w:abstractNumId w:val="7"/>
  </w:num>
  <w:num w:numId="6" w16cid:durableId="656149766">
    <w:abstractNumId w:val="6"/>
  </w:num>
  <w:num w:numId="7" w16cid:durableId="173806385">
    <w:abstractNumId w:val="8"/>
  </w:num>
  <w:num w:numId="8" w16cid:durableId="1859348088">
    <w:abstractNumId w:val="31"/>
  </w:num>
  <w:num w:numId="9" w16cid:durableId="144979518">
    <w:abstractNumId w:val="23"/>
  </w:num>
  <w:num w:numId="10" w16cid:durableId="1796438723">
    <w:abstractNumId w:val="15"/>
  </w:num>
  <w:num w:numId="11" w16cid:durableId="1673679603">
    <w:abstractNumId w:val="26"/>
  </w:num>
  <w:num w:numId="12" w16cid:durableId="840852795">
    <w:abstractNumId w:val="4"/>
  </w:num>
  <w:num w:numId="13" w16cid:durableId="1166437094">
    <w:abstractNumId w:val="0"/>
  </w:num>
  <w:num w:numId="14" w16cid:durableId="1136221273">
    <w:abstractNumId w:val="19"/>
  </w:num>
  <w:num w:numId="15" w16cid:durableId="151603333">
    <w:abstractNumId w:val="2"/>
  </w:num>
  <w:num w:numId="16" w16cid:durableId="210002481">
    <w:abstractNumId w:val="29"/>
  </w:num>
  <w:num w:numId="17" w16cid:durableId="1186018277">
    <w:abstractNumId w:val="20"/>
  </w:num>
  <w:num w:numId="18" w16cid:durableId="79134313">
    <w:abstractNumId w:val="5"/>
  </w:num>
  <w:num w:numId="19" w16cid:durableId="1061560993">
    <w:abstractNumId w:val="24"/>
  </w:num>
  <w:num w:numId="20" w16cid:durableId="1547526635">
    <w:abstractNumId w:val="30"/>
  </w:num>
  <w:num w:numId="21" w16cid:durableId="1687902542">
    <w:abstractNumId w:val="18"/>
  </w:num>
  <w:num w:numId="22" w16cid:durableId="935358124">
    <w:abstractNumId w:val="25"/>
  </w:num>
  <w:num w:numId="23" w16cid:durableId="663975501">
    <w:abstractNumId w:val="9"/>
  </w:num>
  <w:num w:numId="24" w16cid:durableId="1047948810">
    <w:abstractNumId w:val="16"/>
  </w:num>
  <w:num w:numId="25" w16cid:durableId="269047133">
    <w:abstractNumId w:val="21"/>
  </w:num>
  <w:num w:numId="26" w16cid:durableId="1030833800">
    <w:abstractNumId w:val="13"/>
  </w:num>
  <w:num w:numId="27" w16cid:durableId="496843403">
    <w:abstractNumId w:val="17"/>
  </w:num>
  <w:num w:numId="28" w16cid:durableId="1101488714">
    <w:abstractNumId w:val="35"/>
  </w:num>
  <w:num w:numId="29" w16cid:durableId="1228682207">
    <w:abstractNumId w:val="1"/>
  </w:num>
  <w:num w:numId="30" w16cid:durableId="1187866991">
    <w:abstractNumId w:val="14"/>
  </w:num>
  <w:num w:numId="31" w16cid:durableId="1883439202">
    <w:abstractNumId w:val="27"/>
  </w:num>
  <w:num w:numId="32" w16cid:durableId="757143728">
    <w:abstractNumId w:val="32"/>
  </w:num>
  <w:num w:numId="33" w16cid:durableId="796722733">
    <w:abstractNumId w:val="37"/>
  </w:num>
  <w:num w:numId="34" w16cid:durableId="645627720">
    <w:abstractNumId w:val="22"/>
  </w:num>
  <w:num w:numId="35" w16cid:durableId="1540050416">
    <w:abstractNumId w:val="33"/>
  </w:num>
  <w:num w:numId="36" w16cid:durableId="697707279">
    <w:abstractNumId w:val="3"/>
  </w:num>
  <w:num w:numId="37" w16cid:durableId="1392969625">
    <w:abstractNumId w:val="10"/>
  </w:num>
  <w:num w:numId="38" w16cid:durableId="12486097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90"/>
    <w:rsid w:val="000041C8"/>
    <w:rsid w:val="00045F56"/>
    <w:rsid w:val="00075B14"/>
    <w:rsid w:val="000871F7"/>
    <w:rsid w:val="000F4460"/>
    <w:rsid w:val="00111DFE"/>
    <w:rsid w:val="001A132B"/>
    <w:rsid w:val="001A1E3F"/>
    <w:rsid w:val="001A29D2"/>
    <w:rsid w:val="001B70D3"/>
    <w:rsid w:val="002C3C9C"/>
    <w:rsid w:val="003F1A54"/>
    <w:rsid w:val="004377B7"/>
    <w:rsid w:val="005039F9"/>
    <w:rsid w:val="00533D0F"/>
    <w:rsid w:val="00595B02"/>
    <w:rsid w:val="005A4A73"/>
    <w:rsid w:val="005B4835"/>
    <w:rsid w:val="005C2422"/>
    <w:rsid w:val="005D177B"/>
    <w:rsid w:val="00606450"/>
    <w:rsid w:val="006659C1"/>
    <w:rsid w:val="006902E2"/>
    <w:rsid w:val="006B30BD"/>
    <w:rsid w:val="006C193E"/>
    <w:rsid w:val="006C396E"/>
    <w:rsid w:val="006C64F0"/>
    <w:rsid w:val="00762D4E"/>
    <w:rsid w:val="00783269"/>
    <w:rsid w:val="007C54FB"/>
    <w:rsid w:val="007C6E1A"/>
    <w:rsid w:val="007D38A8"/>
    <w:rsid w:val="0080078F"/>
    <w:rsid w:val="00827C39"/>
    <w:rsid w:val="0086288C"/>
    <w:rsid w:val="00886D90"/>
    <w:rsid w:val="00892320"/>
    <w:rsid w:val="008A0E1B"/>
    <w:rsid w:val="008B4548"/>
    <w:rsid w:val="00921B49"/>
    <w:rsid w:val="009426BF"/>
    <w:rsid w:val="009A72A6"/>
    <w:rsid w:val="009C0BE6"/>
    <w:rsid w:val="009D7062"/>
    <w:rsid w:val="009E071F"/>
    <w:rsid w:val="009E572A"/>
    <w:rsid w:val="00A03E1A"/>
    <w:rsid w:val="00A11E37"/>
    <w:rsid w:val="00A271FA"/>
    <w:rsid w:val="00A275F1"/>
    <w:rsid w:val="00A60C52"/>
    <w:rsid w:val="00A70B34"/>
    <w:rsid w:val="00A808DF"/>
    <w:rsid w:val="00B03205"/>
    <w:rsid w:val="00B455CB"/>
    <w:rsid w:val="00B46FB2"/>
    <w:rsid w:val="00B7487B"/>
    <w:rsid w:val="00B77514"/>
    <w:rsid w:val="00BF0387"/>
    <w:rsid w:val="00BF1A45"/>
    <w:rsid w:val="00C22031"/>
    <w:rsid w:val="00C23982"/>
    <w:rsid w:val="00C67DBB"/>
    <w:rsid w:val="00CD0E68"/>
    <w:rsid w:val="00CE0442"/>
    <w:rsid w:val="00CF570F"/>
    <w:rsid w:val="00D12302"/>
    <w:rsid w:val="00D24D6A"/>
    <w:rsid w:val="00D369AD"/>
    <w:rsid w:val="00D36CE4"/>
    <w:rsid w:val="00DE3291"/>
    <w:rsid w:val="00DE4F9A"/>
    <w:rsid w:val="00E35C3A"/>
    <w:rsid w:val="00E80F59"/>
    <w:rsid w:val="00EA6838"/>
    <w:rsid w:val="00F5370A"/>
    <w:rsid w:val="00F84BA8"/>
    <w:rsid w:val="00FC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41AE"/>
  <w15:chartTrackingRefBased/>
  <w15:docId w15:val="{6019BAA9-8CA9-4673-8E18-868D237C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F9"/>
  </w:style>
  <w:style w:type="paragraph" w:styleId="Heading1">
    <w:name w:val="heading 1"/>
    <w:basedOn w:val="Normal"/>
    <w:next w:val="Normal"/>
    <w:link w:val="Heading1Char"/>
    <w:uiPriority w:val="9"/>
    <w:qFormat/>
    <w:rsid w:val="00886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D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038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E8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4F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n9spYaapdsnxOrF9-HHssuBEvz0nLWEJ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Ata</dc:creator>
  <cp:keywords/>
  <dc:description/>
  <cp:lastModifiedBy>Alison Killilea</cp:lastModifiedBy>
  <cp:revision>2</cp:revision>
  <dcterms:created xsi:type="dcterms:W3CDTF">2026-04-03T18:06:00Z</dcterms:created>
  <dcterms:modified xsi:type="dcterms:W3CDTF">2026-04-03T18:06:00Z</dcterms:modified>
</cp:coreProperties>
</file>